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C052CF" w14:paraId="2A131A54" w14:textId="77777777" w:rsidTr="00DE264A">
        <w:trPr>
          <w:trHeight w:val="852"/>
          <w:jc w:val="center"/>
        </w:trPr>
        <w:tc>
          <w:tcPr>
            <w:tcW w:w="6946" w:type="dxa"/>
            <w:vMerge w:val="restart"/>
            <w:tcBorders>
              <w:right w:val="single" w:sz="4" w:space="0" w:color="auto"/>
            </w:tcBorders>
          </w:tcPr>
          <w:p w14:paraId="38C3D2BA" w14:textId="705057D6" w:rsidR="000A03B2" w:rsidRPr="00C052CF" w:rsidRDefault="00C052CF" w:rsidP="00DE264A">
            <w:pPr>
              <w:tabs>
                <w:tab w:val="left" w:pos="-108"/>
              </w:tabs>
              <w:ind w:left="-108"/>
              <w:jc w:val="left"/>
              <w:rPr>
                <w:rFonts w:cs="Arial"/>
                <w:b/>
                <w:bCs/>
                <w:i/>
                <w:iCs/>
                <w:color w:val="000066"/>
                <w:sz w:val="12"/>
                <w:szCs w:val="12"/>
                <w:lang w:eastAsia="it-IT"/>
              </w:rPr>
            </w:pPr>
            <w:bookmarkStart w:id="0" w:name="_Hlk145068772"/>
            <w:r w:rsidRPr="00C052CF">
              <w:rPr>
                <w:rFonts w:ascii="AdvP6960" w:hAnsi="AdvP6960" w:cs="AdvP6960"/>
                <w:color w:val="241F20"/>
                <w:szCs w:val="18"/>
                <w:lang w:eastAsia="it-IT"/>
              </w:rPr>
              <w:t>A</w:t>
            </w:r>
            <w:r w:rsidR="000A03B2" w:rsidRPr="00C052CF">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000A03B2" w:rsidRPr="00C052CF">
              <w:rPr>
                <w:rFonts w:ascii="AdvP6960" w:hAnsi="AdvP6960" w:cs="AdvP6960"/>
                <w:color w:val="241F20"/>
                <w:szCs w:val="18"/>
                <w:lang w:eastAsia="it-IT"/>
              </w:rPr>
              <w:t xml:space="preserve"> </w:t>
            </w:r>
            <w:r w:rsidR="000A03B2" w:rsidRPr="00C052CF">
              <w:rPr>
                <w:rFonts w:cs="Arial"/>
                <w:b/>
                <w:bCs/>
                <w:i/>
                <w:iCs/>
                <w:color w:val="000066"/>
                <w:sz w:val="24"/>
                <w:szCs w:val="24"/>
                <w:lang w:eastAsia="it-IT"/>
              </w:rPr>
              <w:t>CHEMICAL ENGINEERING</w:t>
            </w:r>
            <w:r w:rsidR="000A03B2" w:rsidRPr="00C052CF">
              <w:rPr>
                <w:rFonts w:cs="Arial"/>
                <w:b/>
                <w:bCs/>
                <w:i/>
                <w:iCs/>
                <w:color w:val="0033FF"/>
                <w:sz w:val="24"/>
                <w:szCs w:val="24"/>
                <w:lang w:eastAsia="it-IT"/>
              </w:rPr>
              <w:t xml:space="preserve"> </w:t>
            </w:r>
            <w:r w:rsidR="000A03B2" w:rsidRPr="00C052CF">
              <w:rPr>
                <w:rFonts w:cs="Arial"/>
                <w:b/>
                <w:bCs/>
                <w:i/>
                <w:iCs/>
                <w:color w:val="666666"/>
                <w:sz w:val="24"/>
                <w:szCs w:val="24"/>
                <w:lang w:eastAsia="it-IT"/>
              </w:rPr>
              <w:t>TRANSACTIONS</w:t>
            </w:r>
            <w:r w:rsidR="000A03B2" w:rsidRPr="00C052CF">
              <w:rPr>
                <w:color w:val="333333"/>
                <w:sz w:val="24"/>
                <w:szCs w:val="24"/>
                <w:lang w:eastAsia="it-IT"/>
              </w:rPr>
              <w:t xml:space="preserve"> </w:t>
            </w:r>
            <w:r w:rsidR="000A03B2" w:rsidRPr="00C052CF">
              <w:rPr>
                <w:rFonts w:cs="Arial"/>
                <w:b/>
                <w:bCs/>
                <w:i/>
                <w:iCs/>
                <w:color w:val="000066"/>
                <w:sz w:val="27"/>
                <w:szCs w:val="27"/>
                <w:lang w:eastAsia="it-IT"/>
              </w:rPr>
              <w:br/>
            </w:r>
          </w:p>
          <w:p w14:paraId="4B780582" w14:textId="753620B8" w:rsidR="000A03B2" w:rsidRPr="00C052CF" w:rsidRDefault="00A76EFC" w:rsidP="001D21AF">
            <w:pPr>
              <w:tabs>
                <w:tab w:val="left" w:pos="-108"/>
              </w:tabs>
              <w:ind w:left="-108"/>
              <w:rPr>
                <w:rFonts w:cs="Arial"/>
                <w:b/>
                <w:bCs/>
                <w:i/>
                <w:iCs/>
                <w:color w:val="000066"/>
                <w:sz w:val="22"/>
                <w:szCs w:val="22"/>
                <w:lang w:eastAsia="it-IT"/>
              </w:rPr>
            </w:pPr>
            <w:r w:rsidRPr="00C052CF">
              <w:rPr>
                <w:rFonts w:cs="Arial"/>
                <w:b/>
                <w:bCs/>
                <w:i/>
                <w:iCs/>
                <w:color w:val="000066"/>
                <w:sz w:val="22"/>
                <w:szCs w:val="22"/>
                <w:lang w:eastAsia="it-IT"/>
              </w:rPr>
              <w:t>VOL.</w:t>
            </w:r>
            <w:r w:rsidR="00785BF9" w:rsidRPr="00C052CF">
              <w:rPr>
                <w:rFonts w:cs="Arial"/>
                <w:b/>
                <w:bCs/>
                <w:i/>
                <w:iCs/>
                <w:color w:val="000066"/>
                <w:sz w:val="22"/>
                <w:szCs w:val="22"/>
                <w:lang w:eastAsia="it-IT"/>
              </w:rPr>
              <w:t xml:space="preserve"> </w:t>
            </w:r>
            <w:r w:rsidR="00AD0278" w:rsidRPr="00C052CF">
              <w:rPr>
                <w:rFonts w:cs="Arial"/>
                <w:b/>
                <w:bCs/>
                <w:i/>
                <w:iCs/>
                <w:color w:val="000066"/>
                <w:sz w:val="22"/>
                <w:szCs w:val="22"/>
                <w:lang w:eastAsia="it-IT"/>
              </w:rPr>
              <w:t>xxx</w:t>
            </w:r>
            <w:r w:rsidR="007B48F9" w:rsidRPr="00C052CF">
              <w:rPr>
                <w:rFonts w:cs="Arial"/>
                <w:b/>
                <w:bCs/>
                <w:i/>
                <w:iCs/>
                <w:color w:val="000066"/>
                <w:sz w:val="22"/>
                <w:szCs w:val="22"/>
                <w:lang w:eastAsia="it-IT"/>
              </w:rPr>
              <w:t>,</w:t>
            </w:r>
            <w:r w:rsidR="00FA5F5F" w:rsidRPr="00C052CF">
              <w:rPr>
                <w:rFonts w:cs="Arial"/>
                <w:b/>
                <w:bCs/>
                <w:i/>
                <w:iCs/>
                <w:color w:val="000066"/>
                <w:sz w:val="22"/>
                <w:szCs w:val="22"/>
                <w:lang w:eastAsia="it-IT"/>
              </w:rPr>
              <w:t xml:space="preserve"> </w:t>
            </w:r>
            <w:r w:rsidR="0030152C" w:rsidRPr="00C052CF">
              <w:rPr>
                <w:rFonts w:cs="Arial"/>
                <w:b/>
                <w:bCs/>
                <w:i/>
                <w:iCs/>
                <w:color w:val="000066"/>
                <w:sz w:val="22"/>
                <w:szCs w:val="22"/>
                <w:lang w:eastAsia="it-IT"/>
              </w:rPr>
              <w:t>202</w:t>
            </w:r>
            <w:r w:rsidR="00AD0278" w:rsidRPr="00C052CF">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C052CF" w:rsidRDefault="000A03B2" w:rsidP="00CD5FE2">
            <w:pPr>
              <w:spacing w:line="140" w:lineRule="atLeast"/>
              <w:jc w:val="right"/>
              <w:rPr>
                <w:rFonts w:cs="Arial"/>
                <w:sz w:val="14"/>
                <w:szCs w:val="14"/>
              </w:rPr>
            </w:pPr>
            <w:r w:rsidRPr="00C052CF">
              <w:rPr>
                <w:rFonts w:cs="Arial"/>
                <w:sz w:val="14"/>
                <w:szCs w:val="14"/>
              </w:rPr>
              <w:t>A publication of</w:t>
            </w:r>
          </w:p>
          <w:p w14:paraId="599E5441" w14:textId="77777777" w:rsidR="000A03B2" w:rsidRPr="00C052CF" w:rsidRDefault="000A03B2" w:rsidP="00CD5FE2">
            <w:pPr>
              <w:jc w:val="right"/>
            </w:pPr>
            <w:r w:rsidRPr="00C052CF">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C052CF" w14:paraId="380FA3CD" w14:textId="77777777" w:rsidTr="00DE264A">
        <w:trPr>
          <w:trHeight w:val="567"/>
          <w:jc w:val="center"/>
        </w:trPr>
        <w:tc>
          <w:tcPr>
            <w:tcW w:w="6946" w:type="dxa"/>
            <w:vMerge/>
            <w:tcBorders>
              <w:right w:val="single" w:sz="4" w:space="0" w:color="auto"/>
            </w:tcBorders>
          </w:tcPr>
          <w:p w14:paraId="39E5E4C1" w14:textId="77777777" w:rsidR="000A03B2" w:rsidRPr="00C052CF"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C052CF" w:rsidRDefault="000A03B2" w:rsidP="00CD5FE2">
            <w:pPr>
              <w:spacing w:line="140" w:lineRule="atLeast"/>
              <w:jc w:val="right"/>
              <w:rPr>
                <w:rFonts w:cs="Arial"/>
                <w:sz w:val="14"/>
                <w:szCs w:val="14"/>
              </w:rPr>
            </w:pPr>
            <w:r w:rsidRPr="00C052CF">
              <w:rPr>
                <w:rFonts w:cs="Arial"/>
                <w:sz w:val="14"/>
                <w:szCs w:val="14"/>
              </w:rPr>
              <w:t>The Italian Association</w:t>
            </w:r>
          </w:p>
          <w:p w14:paraId="7522B1D2" w14:textId="77777777" w:rsidR="000A03B2" w:rsidRPr="00C052CF" w:rsidRDefault="000A03B2" w:rsidP="00CD5FE2">
            <w:pPr>
              <w:spacing w:line="140" w:lineRule="atLeast"/>
              <w:jc w:val="right"/>
              <w:rPr>
                <w:rFonts w:cs="Arial"/>
                <w:sz w:val="14"/>
                <w:szCs w:val="14"/>
              </w:rPr>
            </w:pPr>
            <w:r w:rsidRPr="00C052CF">
              <w:rPr>
                <w:rFonts w:cs="Arial"/>
                <w:sz w:val="14"/>
                <w:szCs w:val="14"/>
              </w:rPr>
              <w:t>of Chemical Engineering</w:t>
            </w:r>
          </w:p>
          <w:p w14:paraId="4F0CC5DE" w14:textId="47FDB2FC" w:rsidR="000A03B2" w:rsidRPr="00C052CF" w:rsidRDefault="000D0268" w:rsidP="00CD5FE2">
            <w:pPr>
              <w:spacing w:line="140" w:lineRule="atLeast"/>
              <w:jc w:val="right"/>
              <w:rPr>
                <w:rFonts w:cs="Arial"/>
                <w:sz w:val="13"/>
                <w:szCs w:val="13"/>
              </w:rPr>
            </w:pPr>
            <w:r w:rsidRPr="00C052CF">
              <w:rPr>
                <w:rFonts w:cs="Arial"/>
                <w:sz w:val="13"/>
                <w:szCs w:val="13"/>
              </w:rPr>
              <w:t>Online at www.cetjournal.it</w:t>
            </w:r>
          </w:p>
        </w:tc>
      </w:tr>
      <w:tr w:rsidR="000A03B2" w:rsidRPr="00C052CF" w14:paraId="2D1B7169" w14:textId="77777777" w:rsidTr="00DE264A">
        <w:trPr>
          <w:trHeight w:val="68"/>
          <w:jc w:val="center"/>
        </w:trPr>
        <w:tc>
          <w:tcPr>
            <w:tcW w:w="8789" w:type="dxa"/>
            <w:gridSpan w:val="2"/>
          </w:tcPr>
          <w:p w14:paraId="1D8DD3C9" w14:textId="775EC904" w:rsidR="00AA7D26" w:rsidRPr="00C052CF" w:rsidRDefault="004A5E57" w:rsidP="007A6DF8">
            <w:pPr>
              <w:ind w:left="-107"/>
              <w:outlineLvl w:val="2"/>
              <w:rPr>
                <w:rFonts w:ascii="Tahoma" w:hAnsi="Tahoma" w:cs="Tahoma"/>
                <w:color w:val="000000"/>
                <w:sz w:val="14"/>
                <w:szCs w:val="14"/>
                <w:shd w:val="clear" w:color="auto" w:fill="FFFFFF"/>
                <w:lang w:val="it-IT"/>
              </w:rPr>
            </w:pPr>
            <w:r w:rsidRPr="00C052CF">
              <w:rPr>
                <w:rFonts w:ascii="Tahoma" w:hAnsi="Tahoma" w:cs="Tahoma"/>
                <w:iCs/>
                <w:color w:val="333333"/>
                <w:sz w:val="14"/>
                <w:szCs w:val="14"/>
                <w:lang w:val="it-IT" w:eastAsia="it-IT"/>
              </w:rPr>
              <w:t>Guest Editors:</w:t>
            </w:r>
            <w:r w:rsidRPr="00C052CF">
              <w:rPr>
                <w:rFonts w:ascii="Tahoma" w:hAnsi="Tahoma" w:cs="Tahoma"/>
                <w:color w:val="000000"/>
                <w:sz w:val="14"/>
                <w:szCs w:val="14"/>
                <w:shd w:val="clear" w:color="auto" w:fill="FFFFFF"/>
                <w:lang w:val="it-IT"/>
              </w:rPr>
              <w:t xml:space="preserve"> </w:t>
            </w:r>
            <w:r w:rsidR="007A6DF8" w:rsidRPr="00C052CF">
              <w:rPr>
                <w:rFonts w:ascii="Tahoma" w:hAnsi="Tahoma" w:cs="Tahoma"/>
                <w:color w:val="000000"/>
                <w:sz w:val="14"/>
                <w:szCs w:val="14"/>
                <w:shd w:val="clear" w:color="auto" w:fill="FFFFFF"/>
                <w:lang w:val="it-IT"/>
              </w:rPr>
              <w:t>Valerio Cozzani, Bruno Fabiano, Genserik Reniers</w:t>
            </w:r>
          </w:p>
          <w:p w14:paraId="1B0F1814" w14:textId="710B7B96" w:rsidR="000A03B2" w:rsidRPr="00C052CF" w:rsidRDefault="00AA7D26" w:rsidP="00AA7D26">
            <w:pPr>
              <w:tabs>
                <w:tab w:val="left" w:pos="-108"/>
              </w:tabs>
              <w:spacing w:line="140" w:lineRule="atLeast"/>
              <w:ind w:left="-107"/>
              <w:jc w:val="left"/>
            </w:pPr>
            <w:r w:rsidRPr="00C052CF">
              <w:rPr>
                <w:rFonts w:ascii="Tahoma" w:hAnsi="Tahoma" w:cs="Tahoma"/>
                <w:iCs/>
                <w:color w:val="333333"/>
                <w:sz w:val="14"/>
                <w:szCs w:val="14"/>
                <w:lang w:eastAsia="it-IT"/>
              </w:rPr>
              <w:t>Copyright © 202</w:t>
            </w:r>
            <w:r w:rsidR="00005884" w:rsidRPr="00C052CF">
              <w:rPr>
                <w:rFonts w:ascii="Tahoma" w:hAnsi="Tahoma" w:cs="Tahoma"/>
                <w:iCs/>
                <w:color w:val="333333"/>
                <w:sz w:val="14"/>
                <w:szCs w:val="14"/>
                <w:lang w:eastAsia="it-IT"/>
              </w:rPr>
              <w:t>6</w:t>
            </w:r>
            <w:r w:rsidRPr="00C052CF">
              <w:rPr>
                <w:rFonts w:ascii="Tahoma" w:hAnsi="Tahoma" w:cs="Tahoma"/>
                <w:iCs/>
                <w:color w:val="333333"/>
                <w:sz w:val="14"/>
                <w:szCs w:val="14"/>
                <w:lang w:eastAsia="it-IT"/>
              </w:rPr>
              <w:t>, AIDIC Servizi S.r.l.</w:t>
            </w:r>
            <w:r w:rsidRPr="00C052CF">
              <w:rPr>
                <w:rFonts w:ascii="Tahoma" w:hAnsi="Tahoma" w:cs="Tahoma"/>
                <w:iCs/>
                <w:color w:val="333333"/>
                <w:sz w:val="14"/>
                <w:szCs w:val="14"/>
                <w:lang w:eastAsia="it-IT"/>
              </w:rPr>
              <w:br/>
            </w:r>
            <w:r w:rsidRPr="00C052CF">
              <w:rPr>
                <w:rFonts w:ascii="Tahoma" w:hAnsi="Tahoma" w:cs="Tahoma"/>
                <w:b/>
                <w:iCs/>
                <w:color w:val="000000"/>
                <w:sz w:val="14"/>
                <w:szCs w:val="14"/>
                <w:lang w:eastAsia="it-IT"/>
              </w:rPr>
              <w:t>ISBN</w:t>
            </w:r>
            <w:r w:rsidRPr="00C052CF">
              <w:rPr>
                <w:rFonts w:ascii="Tahoma" w:hAnsi="Tahoma" w:cs="Tahoma"/>
                <w:iCs/>
                <w:color w:val="000000"/>
                <w:sz w:val="14"/>
                <w:szCs w:val="14"/>
                <w:lang w:eastAsia="it-IT"/>
              </w:rPr>
              <w:t xml:space="preserve"> </w:t>
            </w:r>
            <w:r w:rsidR="00D2582C" w:rsidRPr="00C052CF">
              <w:rPr>
                <w:rFonts w:ascii="Tahoma" w:hAnsi="Tahoma" w:cs="Tahoma"/>
                <w:sz w:val="14"/>
                <w:szCs w:val="14"/>
              </w:rPr>
              <w:t>979-12-81206-</w:t>
            </w:r>
            <w:r w:rsidR="00005884" w:rsidRPr="00C052CF">
              <w:rPr>
                <w:rFonts w:ascii="Tahoma" w:hAnsi="Tahoma" w:cs="Tahoma"/>
                <w:sz w:val="14"/>
                <w:szCs w:val="14"/>
              </w:rPr>
              <w:t>xx</w:t>
            </w:r>
            <w:r w:rsidR="009041F8" w:rsidRPr="00C052CF">
              <w:rPr>
                <w:rFonts w:ascii="Tahoma" w:hAnsi="Tahoma" w:cs="Tahoma"/>
                <w:sz w:val="14"/>
                <w:szCs w:val="14"/>
              </w:rPr>
              <w:t>-</w:t>
            </w:r>
            <w:r w:rsidR="00005884" w:rsidRPr="00C052CF">
              <w:rPr>
                <w:rFonts w:ascii="Tahoma" w:hAnsi="Tahoma" w:cs="Tahoma"/>
                <w:sz w:val="14"/>
                <w:szCs w:val="14"/>
              </w:rPr>
              <w:t>x</w:t>
            </w:r>
            <w:r w:rsidRPr="00C052CF">
              <w:rPr>
                <w:rFonts w:ascii="Tahoma" w:hAnsi="Tahoma" w:cs="Tahoma"/>
                <w:iCs/>
                <w:color w:val="333333"/>
                <w:sz w:val="14"/>
                <w:szCs w:val="14"/>
                <w:lang w:eastAsia="it-IT"/>
              </w:rPr>
              <w:t xml:space="preserve">; </w:t>
            </w:r>
            <w:r w:rsidRPr="00C052CF">
              <w:rPr>
                <w:rFonts w:ascii="Tahoma" w:hAnsi="Tahoma" w:cs="Tahoma"/>
                <w:b/>
                <w:iCs/>
                <w:color w:val="333333"/>
                <w:sz w:val="14"/>
                <w:szCs w:val="14"/>
                <w:lang w:eastAsia="it-IT"/>
              </w:rPr>
              <w:t>ISSN</w:t>
            </w:r>
            <w:r w:rsidRPr="00C052CF">
              <w:rPr>
                <w:rFonts w:ascii="Tahoma" w:hAnsi="Tahoma" w:cs="Tahoma"/>
                <w:iCs/>
                <w:color w:val="333333"/>
                <w:sz w:val="14"/>
                <w:szCs w:val="14"/>
                <w:lang w:eastAsia="it-IT"/>
              </w:rPr>
              <w:t xml:space="preserve"> 2283-9216</w:t>
            </w:r>
          </w:p>
        </w:tc>
      </w:tr>
    </w:tbl>
    <w:bookmarkEnd w:id="0"/>
    <w:p w14:paraId="2E667253" w14:textId="5F9A17EF" w:rsidR="00E978D0" w:rsidRPr="00C052CF" w:rsidRDefault="00CA2BA2" w:rsidP="00E978D0">
      <w:pPr>
        <w:pStyle w:val="CETTitle"/>
        <w:rPr>
          <w:lang w:val="it-IT"/>
        </w:rPr>
      </w:pPr>
      <w:r w:rsidRPr="00C052CF">
        <w:t>Is</w:t>
      </w:r>
      <w:r w:rsidR="00F0272A" w:rsidRPr="00C052CF">
        <w:t xml:space="preserve"> operational excellence </w:t>
      </w:r>
      <w:r w:rsidR="00E10104" w:rsidRPr="00C052CF">
        <w:t xml:space="preserve">an enabler of </w:t>
      </w:r>
      <w:r w:rsidR="00F0272A" w:rsidRPr="00C052CF">
        <w:t xml:space="preserve">safety? </w:t>
      </w:r>
      <w:r w:rsidR="00F0272A" w:rsidRPr="00C052CF">
        <w:rPr>
          <w:lang w:val="it-IT"/>
        </w:rPr>
        <w:t>An empirical analysis</w:t>
      </w:r>
    </w:p>
    <w:p w14:paraId="0488FED2" w14:textId="34544C03" w:rsidR="00B57E6F" w:rsidRPr="00C052CF" w:rsidRDefault="005929FF" w:rsidP="00410CAE">
      <w:pPr>
        <w:pStyle w:val="CETAuthors"/>
        <w:rPr>
          <w:noProof w:val="0"/>
          <w:lang w:val="it-IT"/>
        </w:rPr>
      </w:pPr>
      <w:r w:rsidRPr="00C052CF">
        <w:rPr>
          <w:noProof w:val="0"/>
          <w:lang w:val="it-IT"/>
        </w:rPr>
        <w:t xml:space="preserve">Eleonora </w:t>
      </w:r>
      <w:proofErr w:type="gramStart"/>
      <w:r w:rsidRPr="00C052CF">
        <w:rPr>
          <w:noProof w:val="0"/>
          <w:lang w:val="it-IT"/>
        </w:rPr>
        <w:t>Bottani</w:t>
      </w:r>
      <w:r w:rsidRPr="00C052CF">
        <w:rPr>
          <w:noProof w:val="0"/>
          <w:vertAlign w:val="superscript"/>
          <w:lang w:val="it-IT"/>
        </w:rPr>
        <w:t>a</w:t>
      </w:r>
      <w:r w:rsidR="00B57E6F" w:rsidRPr="00C052CF">
        <w:rPr>
          <w:noProof w:val="0"/>
          <w:vertAlign w:val="superscript"/>
          <w:lang w:val="it-IT"/>
        </w:rPr>
        <w:t>,</w:t>
      </w:r>
      <w:r w:rsidR="00B57E6F" w:rsidRPr="00C052CF">
        <w:rPr>
          <w:noProof w:val="0"/>
          <w:lang w:val="it-IT"/>
        </w:rPr>
        <w:t>*</w:t>
      </w:r>
      <w:proofErr w:type="gramEnd"/>
      <w:r w:rsidR="00B57E6F" w:rsidRPr="00C052CF">
        <w:rPr>
          <w:noProof w:val="0"/>
          <w:lang w:val="it-IT"/>
        </w:rPr>
        <w:t>,</w:t>
      </w:r>
      <w:r w:rsidRPr="00C052CF">
        <w:rPr>
          <w:noProof w:val="0"/>
          <w:lang w:val="it-IT"/>
        </w:rPr>
        <w:t xml:space="preserve"> Giorgia Casella</w:t>
      </w:r>
      <w:r w:rsidRPr="00C052CF">
        <w:rPr>
          <w:noProof w:val="0"/>
          <w:vertAlign w:val="superscript"/>
          <w:lang w:val="it-IT"/>
        </w:rPr>
        <w:t>b</w:t>
      </w:r>
      <w:r w:rsidRPr="00C052CF">
        <w:rPr>
          <w:noProof w:val="0"/>
          <w:lang w:val="it-IT"/>
        </w:rPr>
        <w:t>, Teresa</w:t>
      </w:r>
      <w:r w:rsidR="00410CAE" w:rsidRPr="00C052CF">
        <w:rPr>
          <w:noProof w:val="0"/>
          <w:lang w:val="it-IT"/>
        </w:rPr>
        <w:t xml:space="preserve"> Murino</w:t>
      </w:r>
      <w:r w:rsidR="00410CAE" w:rsidRPr="00C052CF">
        <w:rPr>
          <w:noProof w:val="0"/>
          <w:vertAlign w:val="superscript"/>
          <w:lang w:val="it-IT"/>
        </w:rPr>
        <w:t>c</w:t>
      </w:r>
    </w:p>
    <w:p w14:paraId="6B2D21B3" w14:textId="4D0D189E" w:rsidR="00B57E6F" w:rsidRPr="00C052CF" w:rsidRDefault="00B57E6F" w:rsidP="00B57E6F">
      <w:pPr>
        <w:pStyle w:val="CETAddress"/>
        <w:rPr>
          <w:noProof w:val="0"/>
        </w:rPr>
      </w:pPr>
      <w:proofErr w:type="gramStart"/>
      <w:r w:rsidRPr="00C052CF">
        <w:rPr>
          <w:noProof w:val="0"/>
          <w:vertAlign w:val="superscript"/>
        </w:rPr>
        <w:t>a</w:t>
      </w:r>
      <w:r w:rsidR="00340596" w:rsidRPr="00C052CF">
        <w:rPr>
          <w:noProof w:val="0"/>
          <w:vertAlign w:val="superscript"/>
        </w:rPr>
        <w:t>,b</w:t>
      </w:r>
      <w:r w:rsidR="00E76312" w:rsidRPr="00C052CF">
        <w:rPr>
          <w:noProof w:val="0"/>
        </w:rPr>
        <w:t>Department</w:t>
      </w:r>
      <w:proofErr w:type="gramEnd"/>
      <w:r w:rsidR="00E76312" w:rsidRPr="00C052CF">
        <w:rPr>
          <w:noProof w:val="0"/>
        </w:rPr>
        <w:t xml:space="preserve"> of Engineering for Industrial Systems and Technologies (DEIST)</w:t>
      </w:r>
      <w:r w:rsidR="00340596" w:rsidRPr="00C052CF">
        <w:rPr>
          <w:noProof w:val="0"/>
        </w:rPr>
        <w:t>, University of Parma, viale delle Scienze 181/A, 43124 PARMA - ITALY</w:t>
      </w:r>
      <w:r w:rsidRPr="00C052CF">
        <w:rPr>
          <w:noProof w:val="0"/>
        </w:rPr>
        <w:t xml:space="preserve"> </w:t>
      </w:r>
    </w:p>
    <w:p w14:paraId="3D72B0B0" w14:textId="0351186A" w:rsidR="00B57E6F" w:rsidRPr="00C052CF" w:rsidRDefault="00340596" w:rsidP="00B57E6F">
      <w:pPr>
        <w:pStyle w:val="CETAddress"/>
        <w:rPr>
          <w:noProof w:val="0"/>
        </w:rPr>
      </w:pPr>
      <w:r w:rsidRPr="00C052CF">
        <w:rPr>
          <w:noProof w:val="0"/>
          <w:vertAlign w:val="superscript"/>
        </w:rPr>
        <w:t>c</w:t>
      </w:r>
      <w:r w:rsidR="00533C88" w:rsidRPr="00C052CF">
        <w:rPr>
          <w:noProof w:val="0"/>
        </w:rPr>
        <w:t>Department of Chemical, Materials and Industrial Engineering, University of Naples Federico I</w:t>
      </w:r>
      <w:r w:rsidR="00B84133" w:rsidRPr="00C052CF">
        <w:rPr>
          <w:noProof w:val="0"/>
        </w:rPr>
        <w:t>I</w:t>
      </w:r>
      <w:r w:rsidR="00533C88" w:rsidRPr="00C052CF">
        <w:rPr>
          <w:noProof w:val="0"/>
        </w:rPr>
        <w:t xml:space="preserve">, </w:t>
      </w:r>
      <w:proofErr w:type="gramStart"/>
      <w:r w:rsidR="00533C88" w:rsidRPr="00C052CF">
        <w:rPr>
          <w:noProof w:val="0"/>
        </w:rPr>
        <w:t>P.le</w:t>
      </w:r>
      <w:proofErr w:type="gramEnd"/>
      <w:r w:rsidR="00533C88" w:rsidRPr="00C052CF">
        <w:rPr>
          <w:noProof w:val="0"/>
        </w:rPr>
        <w:t xml:space="preserve"> Tecchio 80, Napoli, 80125, Italy</w:t>
      </w:r>
      <w:r w:rsidR="00B57E6F" w:rsidRPr="00C052CF">
        <w:rPr>
          <w:noProof w:val="0"/>
        </w:rPr>
        <w:t xml:space="preserve"> </w:t>
      </w:r>
    </w:p>
    <w:p w14:paraId="73F1267A" w14:textId="5791A804" w:rsidR="00B57E6F" w:rsidRPr="00C052CF" w:rsidRDefault="00B57E6F" w:rsidP="00B57E6F">
      <w:pPr>
        <w:pStyle w:val="CETemail"/>
        <w:rPr>
          <w:noProof w:val="0"/>
        </w:rPr>
      </w:pPr>
      <w:r w:rsidRPr="00C052CF">
        <w:rPr>
          <w:noProof w:val="0"/>
        </w:rPr>
        <w:t xml:space="preserve"> </w:t>
      </w:r>
      <w:r w:rsidR="00533C88" w:rsidRPr="00C052CF">
        <w:rPr>
          <w:noProof w:val="0"/>
        </w:rPr>
        <w:t>eleonora.bottani</w:t>
      </w:r>
      <w:r w:rsidRPr="00C052CF">
        <w:rPr>
          <w:noProof w:val="0"/>
        </w:rPr>
        <w:t>@</w:t>
      </w:r>
      <w:r w:rsidR="00533C88" w:rsidRPr="00C052CF">
        <w:rPr>
          <w:noProof w:val="0"/>
        </w:rPr>
        <w:t>unipr</w:t>
      </w:r>
      <w:r w:rsidRPr="00C052CF">
        <w:rPr>
          <w:noProof w:val="0"/>
        </w:rPr>
        <w:t>.</w:t>
      </w:r>
      <w:r w:rsidR="00533C88" w:rsidRPr="00C052CF">
        <w:rPr>
          <w:noProof w:val="0"/>
        </w:rPr>
        <w:t>it</w:t>
      </w:r>
    </w:p>
    <w:p w14:paraId="418FC536" w14:textId="57862E21" w:rsidR="009550BC" w:rsidRPr="00C052CF" w:rsidRDefault="00A63749" w:rsidP="00522022">
      <w:pPr>
        <w:pStyle w:val="CETBodytext"/>
        <w:rPr>
          <w:lang w:val="en-GB"/>
        </w:rPr>
      </w:pPr>
      <w:r w:rsidRPr="00C052CF">
        <w:rPr>
          <w:lang w:val="en-GB"/>
        </w:rPr>
        <w:t xml:space="preserve">This study investigates the relationships between key organizational dimensions contributing to operational excellence and workplace safety performance. The analysis </w:t>
      </w:r>
      <w:r w:rsidR="00306052" w:rsidRPr="00C052CF">
        <w:rPr>
          <w:lang w:val="en-GB"/>
        </w:rPr>
        <w:t>evaluates</w:t>
      </w:r>
      <w:r w:rsidRPr="00C052CF">
        <w:rPr>
          <w:lang w:val="en-GB"/>
        </w:rPr>
        <w:t xml:space="preserve"> six perspectives</w:t>
      </w:r>
      <w:r w:rsidR="00252B3D" w:rsidRPr="00C052CF">
        <w:rPr>
          <w:lang w:val="en-GB"/>
        </w:rPr>
        <w:t xml:space="preserve"> (</w:t>
      </w:r>
      <w:r w:rsidRPr="00C052CF">
        <w:rPr>
          <w:lang w:val="en-GB"/>
        </w:rPr>
        <w:t>ergonomics, safety participation, safety compliance, lean thinking, environmental sustainability, and people excellence</w:t>
      </w:r>
      <w:r w:rsidR="00252B3D" w:rsidRPr="00C052CF">
        <w:rPr>
          <w:lang w:val="en-GB"/>
        </w:rPr>
        <w:t>)</w:t>
      </w:r>
      <w:r w:rsidR="00306052" w:rsidRPr="00C052CF">
        <w:rPr>
          <w:lang w:val="en-GB"/>
        </w:rPr>
        <w:t xml:space="preserve"> through </w:t>
      </w:r>
      <w:r w:rsidR="00252B3D" w:rsidRPr="00C052CF">
        <w:rPr>
          <w:lang w:val="en-GB"/>
        </w:rPr>
        <w:t xml:space="preserve">a set of </w:t>
      </w:r>
      <w:r w:rsidR="00522022" w:rsidRPr="00C052CF">
        <w:rPr>
          <w:lang w:val="en-GB"/>
        </w:rPr>
        <w:t>82-item</w:t>
      </w:r>
      <w:r w:rsidR="00606E7E" w:rsidRPr="00C052CF">
        <w:rPr>
          <w:lang w:val="en-GB"/>
        </w:rPr>
        <w:t xml:space="preserve"> embodied in </w:t>
      </w:r>
      <w:r w:rsidR="00283334" w:rsidRPr="00C052CF">
        <w:rPr>
          <w:lang w:val="en-GB"/>
        </w:rPr>
        <w:t xml:space="preserve">a </w:t>
      </w:r>
      <w:r w:rsidR="00522022" w:rsidRPr="00C052CF">
        <w:rPr>
          <w:lang w:val="en-GB"/>
        </w:rPr>
        <w:t xml:space="preserve">questionnaire structured </w:t>
      </w:r>
      <w:r w:rsidR="000C704E" w:rsidRPr="00C052CF">
        <w:rPr>
          <w:lang w:val="en-GB"/>
        </w:rPr>
        <w:t>with close-ended questions</w:t>
      </w:r>
      <w:r w:rsidR="00522022" w:rsidRPr="00C052CF">
        <w:rPr>
          <w:lang w:val="en-GB"/>
        </w:rPr>
        <w:t>. The survey was administered online and distributed to 450 employees working in Italian manufacturing industries.</w:t>
      </w:r>
      <w:r w:rsidR="00E47E01" w:rsidRPr="00C052CF">
        <w:rPr>
          <w:lang w:val="en-GB"/>
        </w:rPr>
        <w:t xml:space="preserve"> </w:t>
      </w:r>
      <w:r w:rsidR="00CC1348" w:rsidRPr="00C052CF">
        <w:rPr>
          <w:lang w:val="en-GB"/>
        </w:rPr>
        <w:t>After some d</w:t>
      </w:r>
      <w:r w:rsidR="00522022" w:rsidRPr="00C052CF">
        <w:rPr>
          <w:lang w:val="en-GB"/>
        </w:rPr>
        <w:t xml:space="preserve">escriptive </w:t>
      </w:r>
      <w:r w:rsidR="00CC1348" w:rsidRPr="00C052CF">
        <w:rPr>
          <w:lang w:val="en-GB"/>
        </w:rPr>
        <w:t xml:space="preserve">analysis, </w:t>
      </w:r>
      <w:r w:rsidR="009F716C" w:rsidRPr="00C052CF">
        <w:rPr>
          <w:lang w:val="en-GB"/>
        </w:rPr>
        <w:t xml:space="preserve">intended to </w:t>
      </w:r>
      <w:r w:rsidR="00522022" w:rsidRPr="00C052CF">
        <w:rPr>
          <w:lang w:val="en-GB"/>
        </w:rPr>
        <w:t>provid</w:t>
      </w:r>
      <w:r w:rsidR="00CC1348" w:rsidRPr="00C052CF">
        <w:rPr>
          <w:lang w:val="en-GB"/>
        </w:rPr>
        <w:t>e</w:t>
      </w:r>
      <w:r w:rsidR="00522022" w:rsidRPr="00C052CF">
        <w:rPr>
          <w:lang w:val="en-GB"/>
        </w:rPr>
        <w:t xml:space="preserve"> an overview of </w:t>
      </w:r>
      <w:r w:rsidR="00DA66D4" w:rsidRPr="00C052CF">
        <w:rPr>
          <w:lang w:val="en-GB"/>
        </w:rPr>
        <w:t xml:space="preserve">the </w:t>
      </w:r>
      <w:r w:rsidR="00CC1348" w:rsidRPr="00C052CF">
        <w:rPr>
          <w:lang w:val="en-GB"/>
        </w:rPr>
        <w:t xml:space="preserve">respondents’ </w:t>
      </w:r>
      <w:r w:rsidR="002F42B8" w:rsidRPr="00C052CF">
        <w:rPr>
          <w:lang w:val="en-GB"/>
        </w:rPr>
        <w:t>characteristics</w:t>
      </w:r>
      <w:r w:rsidR="00CC1348" w:rsidRPr="00C052CF">
        <w:rPr>
          <w:lang w:val="en-GB"/>
        </w:rPr>
        <w:t>, a c</w:t>
      </w:r>
      <w:r w:rsidR="00522022" w:rsidRPr="00C052CF">
        <w:rPr>
          <w:lang w:val="en-GB"/>
        </w:rPr>
        <w:t>orrelation analys</w:t>
      </w:r>
      <w:r w:rsidR="00CC1348" w:rsidRPr="00C052CF">
        <w:rPr>
          <w:lang w:val="en-GB"/>
        </w:rPr>
        <w:t>i</w:t>
      </w:r>
      <w:r w:rsidR="00522022" w:rsidRPr="00C052CF">
        <w:rPr>
          <w:lang w:val="en-GB"/>
        </w:rPr>
        <w:t xml:space="preserve">s </w:t>
      </w:r>
      <w:r w:rsidR="00CC1348" w:rsidRPr="00C052CF">
        <w:rPr>
          <w:lang w:val="en-GB"/>
        </w:rPr>
        <w:t xml:space="preserve">is </w:t>
      </w:r>
      <w:r w:rsidR="00522022" w:rsidRPr="00C052CF">
        <w:rPr>
          <w:lang w:val="en-GB"/>
        </w:rPr>
        <w:t xml:space="preserve">conducted </w:t>
      </w:r>
      <w:r w:rsidR="00BF1C03" w:rsidRPr="00C052CF">
        <w:rPr>
          <w:lang w:val="en-GB"/>
        </w:rPr>
        <w:t>to explore internal relationships among the six perspectives</w:t>
      </w:r>
      <w:r w:rsidR="00522022" w:rsidRPr="00C052CF">
        <w:rPr>
          <w:lang w:val="en-GB"/>
        </w:rPr>
        <w:t xml:space="preserve">. </w:t>
      </w:r>
      <w:r w:rsidR="00BF1C03" w:rsidRPr="00C052CF">
        <w:rPr>
          <w:lang w:val="en-GB"/>
        </w:rPr>
        <w:t>Then, a</w:t>
      </w:r>
      <w:r w:rsidR="00ED2107" w:rsidRPr="00C052CF">
        <w:rPr>
          <w:lang w:val="en-GB"/>
        </w:rPr>
        <w:t xml:space="preserve"> structural equation model</w:t>
      </w:r>
      <w:r w:rsidR="00CC1348" w:rsidRPr="00C052CF">
        <w:rPr>
          <w:lang w:val="en-GB"/>
        </w:rPr>
        <w:t xml:space="preserve"> is built, </w:t>
      </w:r>
      <w:r w:rsidR="00ED2107" w:rsidRPr="00C052CF">
        <w:rPr>
          <w:lang w:val="en-GB"/>
        </w:rPr>
        <w:t xml:space="preserve">to tentatively predict a company’s performance against safety-related dimensions </w:t>
      </w:r>
      <w:r w:rsidR="00CC1348" w:rsidRPr="00C052CF">
        <w:rPr>
          <w:lang w:val="en-GB"/>
        </w:rPr>
        <w:t xml:space="preserve">based on </w:t>
      </w:r>
      <w:r w:rsidR="00ED2107" w:rsidRPr="00C052CF">
        <w:rPr>
          <w:lang w:val="en-GB"/>
        </w:rPr>
        <w:t>the remaining organizational perspectives</w:t>
      </w:r>
      <w:r w:rsidR="00ED2107" w:rsidRPr="00C052CF">
        <w:t xml:space="preserve">. </w:t>
      </w:r>
      <w:r w:rsidR="00ED2107" w:rsidRPr="00C052CF">
        <w:rPr>
          <w:lang w:val="en-GB"/>
        </w:rPr>
        <w:t xml:space="preserve">Outcomes highlight a network of significant and meaningful interconnections among the six perspectives, as well as a good fit of the </w:t>
      </w:r>
      <w:r w:rsidR="00B8742D" w:rsidRPr="00C052CF">
        <w:rPr>
          <w:lang w:val="en-GB"/>
        </w:rPr>
        <w:t>structural equation model; t</w:t>
      </w:r>
      <w:r w:rsidR="00864753" w:rsidRPr="00C052CF">
        <w:rPr>
          <w:lang w:val="en-GB"/>
        </w:rPr>
        <w:t xml:space="preserve">hese </w:t>
      </w:r>
      <w:r w:rsidR="00B8742D" w:rsidRPr="00C052CF">
        <w:rPr>
          <w:lang w:val="en-GB"/>
        </w:rPr>
        <w:t xml:space="preserve">results </w:t>
      </w:r>
      <w:r w:rsidR="00864753" w:rsidRPr="00C052CF">
        <w:rPr>
          <w:lang w:val="en-GB"/>
        </w:rPr>
        <w:t xml:space="preserve">pave the way </w:t>
      </w:r>
      <w:r w:rsidR="00934938" w:rsidRPr="00C052CF">
        <w:rPr>
          <w:lang w:val="en-GB"/>
        </w:rPr>
        <w:t xml:space="preserve">to </w:t>
      </w:r>
      <w:r w:rsidR="008A70DD" w:rsidRPr="00C052CF">
        <w:rPr>
          <w:lang w:val="en-GB"/>
        </w:rPr>
        <w:t xml:space="preserve">develop </w:t>
      </w:r>
      <w:r w:rsidR="00934938" w:rsidRPr="00C052CF">
        <w:rPr>
          <w:lang w:val="en-GB"/>
        </w:rPr>
        <w:t xml:space="preserve">integrated </w:t>
      </w:r>
      <w:r w:rsidR="008A70DD" w:rsidRPr="00C052CF">
        <w:rPr>
          <w:lang w:val="en-GB"/>
        </w:rPr>
        <w:t xml:space="preserve">safety models based on operational excellence. </w:t>
      </w:r>
    </w:p>
    <w:p w14:paraId="476B2F2E" w14:textId="77777777" w:rsidR="00600535" w:rsidRPr="00C052CF" w:rsidRDefault="00600535" w:rsidP="00600535">
      <w:pPr>
        <w:pStyle w:val="CETHeading1"/>
        <w:rPr>
          <w:lang w:val="en-GB"/>
        </w:rPr>
      </w:pPr>
      <w:r w:rsidRPr="00C052CF">
        <w:rPr>
          <w:lang w:val="en-GB"/>
        </w:rPr>
        <w:t>Introduction</w:t>
      </w:r>
    </w:p>
    <w:p w14:paraId="25BBA93A" w14:textId="253836CD" w:rsidR="001D60D7" w:rsidRPr="00C052CF" w:rsidRDefault="005F606D" w:rsidP="00600535">
      <w:pPr>
        <w:pStyle w:val="CETBodytext"/>
        <w:rPr>
          <w:lang w:val="en-GB"/>
        </w:rPr>
      </w:pPr>
      <w:r w:rsidRPr="00C052CF">
        <w:rPr>
          <w:lang w:val="en-GB"/>
        </w:rPr>
        <w:t xml:space="preserve">Across industries and around the globe, today’s organizations </w:t>
      </w:r>
      <w:r w:rsidR="00B156C9" w:rsidRPr="00C052CF">
        <w:rPr>
          <w:lang w:val="en-GB"/>
        </w:rPr>
        <w:t xml:space="preserve">work </w:t>
      </w:r>
      <w:r w:rsidRPr="00C052CF">
        <w:rPr>
          <w:lang w:val="en-GB"/>
        </w:rPr>
        <w:t xml:space="preserve">under </w:t>
      </w:r>
      <w:r w:rsidR="00057371" w:rsidRPr="00C052CF">
        <w:rPr>
          <w:lang w:val="en-GB"/>
        </w:rPr>
        <w:t xml:space="preserve">constant </w:t>
      </w:r>
      <w:r w:rsidRPr="00C052CF">
        <w:rPr>
          <w:lang w:val="en-GB"/>
        </w:rPr>
        <w:t>pressure to optimize business performance. With the dynamic nature of the marketplace and the level of complexity, this represents an ongoing journey, requiring a focus on the fundamentals of operational excellence</w:t>
      </w:r>
      <w:r w:rsidR="0067155E" w:rsidRPr="00C052CF">
        <w:rPr>
          <w:lang w:val="en-GB"/>
        </w:rPr>
        <w:t xml:space="preserve"> (OE)</w:t>
      </w:r>
      <w:r w:rsidRPr="00C052CF">
        <w:rPr>
          <w:lang w:val="en-GB"/>
        </w:rPr>
        <w:t xml:space="preserve"> (</w:t>
      </w:r>
      <w:r w:rsidR="00427C4E" w:rsidRPr="00C052CF">
        <w:rPr>
          <w:lang w:val="en-GB"/>
        </w:rPr>
        <w:t>Wahab, 2022</w:t>
      </w:r>
      <w:r w:rsidRPr="00C052CF">
        <w:rPr>
          <w:lang w:val="en-GB"/>
        </w:rPr>
        <w:t>).</w:t>
      </w:r>
      <w:r w:rsidR="00333BB4" w:rsidRPr="00C052CF">
        <w:rPr>
          <w:lang w:val="en-GB"/>
        </w:rPr>
        <w:t xml:space="preserve"> </w:t>
      </w:r>
      <w:r w:rsidR="00D729D4" w:rsidRPr="00C052CF">
        <w:rPr>
          <w:lang w:val="en-GB"/>
        </w:rPr>
        <w:t xml:space="preserve">OE </w:t>
      </w:r>
      <w:r w:rsidR="00C36907" w:rsidRPr="00C052CF">
        <w:rPr>
          <w:lang w:val="en-GB"/>
        </w:rPr>
        <w:t xml:space="preserve">can be defined in several ways, i.e. </w:t>
      </w:r>
      <w:r w:rsidR="00333BB4" w:rsidRPr="00C052CF">
        <w:rPr>
          <w:lang w:val="en-GB"/>
        </w:rPr>
        <w:t>“gaining competitive advantage through greater efficiency in management and production systems”, “a strategy for improving organizational efficiency to peak levels”, “an active effort for eliminating process waste”, “</w:t>
      </w:r>
      <w:r w:rsidR="00D628CD" w:rsidRPr="00C052CF">
        <w:rPr>
          <w:lang w:val="en-GB"/>
        </w:rPr>
        <w:t>l</w:t>
      </w:r>
      <w:r w:rsidR="00333BB4" w:rsidRPr="00C052CF">
        <w:rPr>
          <w:lang w:val="en-GB"/>
        </w:rPr>
        <w:t>ean thinking” and “safety, quality, delivery, cost and morale”</w:t>
      </w:r>
      <w:r w:rsidR="00D628CD" w:rsidRPr="00C052CF">
        <w:rPr>
          <w:lang w:val="en-GB"/>
        </w:rPr>
        <w:t xml:space="preserve"> (La Duke, 2008)</w:t>
      </w:r>
      <w:r w:rsidR="00333BB4" w:rsidRPr="00C052CF">
        <w:rPr>
          <w:lang w:val="en-GB"/>
        </w:rPr>
        <w:t>.</w:t>
      </w:r>
      <w:r w:rsidR="001D60D7" w:rsidRPr="00C052CF">
        <w:rPr>
          <w:lang w:val="en-GB"/>
        </w:rPr>
        <w:t xml:space="preserve"> </w:t>
      </w:r>
      <w:r w:rsidR="00D729D4" w:rsidRPr="00C052CF">
        <w:rPr>
          <w:lang w:val="en-GB"/>
        </w:rPr>
        <w:t xml:space="preserve">OE </w:t>
      </w:r>
      <w:r w:rsidR="00D628CD" w:rsidRPr="00C052CF">
        <w:rPr>
          <w:lang w:val="en-GB"/>
        </w:rPr>
        <w:t xml:space="preserve">practices have </w:t>
      </w:r>
      <w:r w:rsidR="00895AA6" w:rsidRPr="00C052CF">
        <w:rPr>
          <w:lang w:val="en-GB"/>
        </w:rPr>
        <w:t xml:space="preserve">been </w:t>
      </w:r>
      <w:proofErr w:type="gramStart"/>
      <w:r w:rsidR="00C40E54" w:rsidRPr="00C052CF">
        <w:rPr>
          <w:lang w:val="en-GB"/>
        </w:rPr>
        <w:t>more</w:t>
      </w:r>
      <w:r w:rsidR="001D60D7" w:rsidRPr="00C052CF">
        <w:rPr>
          <w:lang w:val="en-GB"/>
        </w:rPr>
        <w:t xml:space="preserve"> </w:t>
      </w:r>
      <w:r w:rsidR="0087734A" w:rsidRPr="00C052CF">
        <w:rPr>
          <w:lang w:val="en-GB"/>
        </w:rPr>
        <w:t>and more</w:t>
      </w:r>
      <w:proofErr w:type="gramEnd"/>
      <w:r w:rsidR="0087734A" w:rsidRPr="00C052CF">
        <w:rPr>
          <w:lang w:val="en-GB"/>
        </w:rPr>
        <w:t xml:space="preserve"> </w:t>
      </w:r>
      <w:r w:rsidR="00C40E54" w:rsidRPr="00C052CF">
        <w:rPr>
          <w:lang w:val="en-GB"/>
        </w:rPr>
        <w:t>used</w:t>
      </w:r>
      <w:r w:rsidR="001D60D7" w:rsidRPr="00C052CF">
        <w:rPr>
          <w:lang w:val="en-GB"/>
        </w:rPr>
        <w:t xml:space="preserve"> </w:t>
      </w:r>
      <w:r w:rsidR="0087734A" w:rsidRPr="00C052CF">
        <w:rPr>
          <w:lang w:val="en-GB"/>
        </w:rPr>
        <w:t xml:space="preserve">by </w:t>
      </w:r>
      <w:r w:rsidR="008F5335" w:rsidRPr="00C052CF">
        <w:rPr>
          <w:lang w:val="en-GB"/>
        </w:rPr>
        <w:t>different</w:t>
      </w:r>
      <w:r w:rsidR="001D60D7" w:rsidRPr="00C052CF">
        <w:rPr>
          <w:lang w:val="en-GB"/>
        </w:rPr>
        <w:t xml:space="preserve"> organizations around the world</w:t>
      </w:r>
      <w:r w:rsidR="0073161F" w:rsidRPr="00C052CF">
        <w:rPr>
          <w:lang w:val="en-GB"/>
        </w:rPr>
        <w:t xml:space="preserve">, given </w:t>
      </w:r>
      <w:r w:rsidR="0087734A" w:rsidRPr="00C052CF">
        <w:rPr>
          <w:lang w:val="en-GB"/>
        </w:rPr>
        <w:t xml:space="preserve">their </w:t>
      </w:r>
      <w:r w:rsidR="0073161F" w:rsidRPr="00C052CF">
        <w:rPr>
          <w:lang w:val="en-GB"/>
        </w:rPr>
        <w:t xml:space="preserve">strategic </w:t>
      </w:r>
      <w:r w:rsidR="00335180" w:rsidRPr="00C052CF">
        <w:rPr>
          <w:lang w:val="en-GB"/>
        </w:rPr>
        <w:t>role</w:t>
      </w:r>
      <w:r w:rsidR="001D60D7" w:rsidRPr="00C052CF">
        <w:rPr>
          <w:lang w:val="en-GB"/>
        </w:rPr>
        <w:t xml:space="preserve"> </w:t>
      </w:r>
      <w:r w:rsidR="0073161F" w:rsidRPr="00C052CF">
        <w:rPr>
          <w:lang w:val="en-GB"/>
        </w:rPr>
        <w:t xml:space="preserve">in </w:t>
      </w:r>
      <w:r w:rsidR="001D60D7" w:rsidRPr="00C052CF">
        <w:rPr>
          <w:lang w:val="en-GB"/>
        </w:rPr>
        <w:t>improving business performance</w:t>
      </w:r>
      <w:r w:rsidR="00CA4318" w:rsidRPr="00C052CF">
        <w:rPr>
          <w:lang w:val="en-GB"/>
        </w:rPr>
        <w:t xml:space="preserve"> (Alguirat et al., 2024)</w:t>
      </w:r>
      <w:r w:rsidR="001D60D7" w:rsidRPr="00C052CF">
        <w:rPr>
          <w:lang w:val="en-GB"/>
        </w:rPr>
        <w:t>.</w:t>
      </w:r>
    </w:p>
    <w:p w14:paraId="28BA6D4D" w14:textId="0E96BA05" w:rsidR="009D6A18" w:rsidRPr="00C052CF" w:rsidRDefault="00D519D9" w:rsidP="00600535">
      <w:pPr>
        <w:pStyle w:val="CETBodytext"/>
        <w:rPr>
          <w:lang w:val="en-GB"/>
        </w:rPr>
      </w:pPr>
      <w:r w:rsidRPr="00C052CF">
        <w:rPr>
          <w:lang w:val="en-GB"/>
        </w:rPr>
        <w:t xml:space="preserve">Lean production is a cornerstone of </w:t>
      </w:r>
      <w:r w:rsidR="00D729D4" w:rsidRPr="00C052CF">
        <w:rPr>
          <w:lang w:val="en-GB"/>
        </w:rPr>
        <w:t xml:space="preserve">OE </w:t>
      </w:r>
      <w:r w:rsidR="00940DAE" w:rsidRPr="00C052CF">
        <w:rPr>
          <w:lang w:val="en-GB"/>
        </w:rPr>
        <w:t>(Gauss et al., 2026)</w:t>
      </w:r>
      <w:r w:rsidR="004209C4" w:rsidRPr="00C052CF">
        <w:rPr>
          <w:lang w:val="en-GB"/>
        </w:rPr>
        <w:t xml:space="preserve"> and </w:t>
      </w:r>
      <w:r w:rsidR="008811F3" w:rsidRPr="00C052CF">
        <w:rPr>
          <w:lang w:val="en-GB"/>
        </w:rPr>
        <w:t xml:space="preserve">lean management is </w:t>
      </w:r>
      <w:r w:rsidR="003C7C28" w:rsidRPr="00C052CF">
        <w:rPr>
          <w:lang w:val="en-GB"/>
        </w:rPr>
        <w:t xml:space="preserve">known </w:t>
      </w:r>
      <w:r w:rsidR="008811F3" w:rsidRPr="00C052CF">
        <w:rPr>
          <w:lang w:val="en-GB"/>
        </w:rPr>
        <w:t xml:space="preserve">for its </w:t>
      </w:r>
      <w:r w:rsidR="003C7C28" w:rsidRPr="00C052CF">
        <w:rPr>
          <w:lang w:val="en-GB"/>
        </w:rPr>
        <w:t xml:space="preserve">effective </w:t>
      </w:r>
      <w:r w:rsidR="008811F3" w:rsidRPr="00C052CF">
        <w:rPr>
          <w:lang w:val="en-GB"/>
        </w:rPr>
        <w:t>contribution to improving companies’ operational performance</w:t>
      </w:r>
      <w:r w:rsidR="006A5EEC" w:rsidRPr="00C052CF">
        <w:rPr>
          <w:lang w:val="en-GB"/>
        </w:rPr>
        <w:t xml:space="preserve">, regardless of the </w:t>
      </w:r>
      <w:r w:rsidR="00D47DAA" w:rsidRPr="00C052CF">
        <w:rPr>
          <w:lang w:val="en-GB"/>
        </w:rPr>
        <w:t>industr</w:t>
      </w:r>
      <w:r w:rsidR="006A5EEC" w:rsidRPr="00C052CF">
        <w:rPr>
          <w:lang w:val="en-GB"/>
        </w:rPr>
        <w:t>y</w:t>
      </w:r>
      <w:r w:rsidR="00D47DAA" w:rsidRPr="00C052CF">
        <w:rPr>
          <w:lang w:val="en-GB"/>
        </w:rPr>
        <w:t xml:space="preserve"> </w:t>
      </w:r>
      <w:r w:rsidR="00CA5427" w:rsidRPr="00C052CF">
        <w:rPr>
          <w:lang w:val="en-GB"/>
        </w:rPr>
        <w:t xml:space="preserve">in which these </w:t>
      </w:r>
      <w:r w:rsidR="0014354F" w:rsidRPr="00C052CF">
        <w:rPr>
          <w:lang w:val="en-GB"/>
        </w:rPr>
        <w:t>method</w:t>
      </w:r>
      <w:r w:rsidR="00CA5427" w:rsidRPr="00C052CF">
        <w:rPr>
          <w:lang w:val="en-GB"/>
        </w:rPr>
        <w:t>s</w:t>
      </w:r>
      <w:r w:rsidR="00D47DAA" w:rsidRPr="00C052CF">
        <w:rPr>
          <w:lang w:val="en-GB"/>
        </w:rPr>
        <w:t xml:space="preserve"> </w:t>
      </w:r>
      <w:r w:rsidR="00CA5427" w:rsidRPr="00C052CF">
        <w:rPr>
          <w:lang w:val="en-GB"/>
        </w:rPr>
        <w:t xml:space="preserve">are used </w:t>
      </w:r>
      <w:r w:rsidR="00A943BC" w:rsidRPr="00C052CF">
        <w:rPr>
          <w:lang w:val="en-GB"/>
        </w:rPr>
        <w:t>(</w:t>
      </w:r>
      <w:r w:rsidR="00C70DEB" w:rsidRPr="00C052CF">
        <w:rPr>
          <w:lang w:val="en-GB"/>
        </w:rPr>
        <w:t xml:space="preserve">El </w:t>
      </w:r>
      <w:r w:rsidR="00A943BC" w:rsidRPr="00C052CF">
        <w:rPr>
          <w:lang w:val="en-GB"/>
        </w:rPr>
        <w:t>Affaki et al., 2025)</w:t>
      </w:r>
      <w:r w:rsidR="00376AD1" w:rsidRPr="00C052CF">
        <w:rPr>
          <w:lang w:val="en-GB"/>
        </w:rPr>
        <w:t>.</w:t>
      </w:r>
      <w:r w:rsidR="002D2235" w:rsidRPr="00C052CF">
        <w:rPr>
          <w:lang w:val="en-GB"/>
        </w:rPr>
        <w:t xml:space="preserve"> </w:t>
      </w:r>
      <w:r w:rsidR="004F56A8" w:rsidRPr="00C052CF">
        <w:rPr>
          <w:lang w:val="en-GB"/>
        </w:rPr>
        <w:t>Concern</w:t>
      </w:r>
      <w:r w:rsidR="002D2235" w:rsidRPr="00C052CF">
        <w:rPr>
          <w:lang w:val="en-GB"/>
        </w:rPr>
        <w:t>s</w:t>
      </w:r>
      <w:r w:rsidR="004F56A8" w:rsidRPr="00C052CF">
        <w:rPr>
          <w:lang w:val="en-GB"/>
        </w:rPr>
        <w:t xml:space="preserve"> for safety and health </w:t>
      </w:r>
      <w:r w:rsidR="002D2235" w:rsidRPr="00C052CF">
        <w:rPr>
          <w:lang w:val="en-GB"/>
        </w:rPr>
        <w:t xml:space="preserve">are typically </w:t>
      </w:r>
      <w:r w:rsidR="004F56A8" w:rsidRPr="00C052CF">
        <w:rPr>
          <w:lang w:val="en-GB"/>
        </w:rPr>
        <w:t>integrated into production system</w:t>
      </w:r>
      <w:r w:rsidR="00F72F06" w:rsidRPr="00C052CF">
        <w:rPr>
          <w:lang w:val="en-GB"/>
        </w:rPr>
        <w:t>s</w:t>
      </w:r>
      <w:r w:rsidR="00164383" w:rsidRPr="00C052CF">
        <w:rPr>
          <w:lang w:val="en-GB"/>
        </w:rPr>
        <w:t xml:space="preserve">, </w:t>
      </w:r>
      <w:r w:rsidR="004F56A8" w:rsidRPr="00C052CF">
        <w:rPr>
          <w:lang w:val="en-GB"/>
        </w:rPr>
        <w:t xml:space="preserve">to promote quality and </w:t>
      </w:r>
      <w:r w:rsidR="00164383" w:rsidRPr="00C052CF">
        <w:rPr>
          <w:lang w:val="en-GB"/>
        </w:rPr>
        <w:t xml:space="preserve">enhance </w:t>
      </w:r>
      <w:r w:rsidR="004F56A8" w:rsidRPr="00C052CF">
        <w:rPr>
          <w:lang w:val="en-GB"/>
        </w:rPr>
        <w:t xml:space="preserve">productivity. Accidents would severely disrupt production and </w:t>
      </w:r>
      <w:r w:rsidR="006F531F" w:rsidRPr="00C052CF">
        <w:rPr>
          <w:lang w:val="en-GB"/>
        </w:rPr>
        <w:t xml:space="preserve">therefore, they </w:t>
      </w:r>
      <w:r w:rsidR="004F56A8" w:rsidRPr="00C052CF">
        <w:rPr>
          <w:lang w:val="en-GB"/>
        </w:rPr>
        <w:t>must be avoided at all costs. Individual workers and line managers take primary responsibility for ensuring that the workplace is safe and healthy (Hansen, 2005). Traditionally, organizations have developed and implemented formal safety programs and systems to ensure worker</w:t>
      </w:r>
      <w:r w:rsidR="00375047" w:rsidRPr="00C052CF">
        <w:rPr>
          <w:lang w:val="en-GB"/>
        </w:rPr>
        <w:t>s’</w:t>
      </w:r>
      <w:r w:rsidR="004F56A8" w:rsidRPr="00C052CF">
        <w:rPr>
          <w:lang w:val="en-GB"/>
        </w:rPr>
        <w:t xml:space="preserve"> safety (</w:t>
      </w:r>
      <w:r w:rsidR="006A7E30" w:rsidRPr="00C052CF">
        <w:rPr>
          <w:lang w:val="en-GB"/>
        </w:rPr>
        <w:t>Uttam et al., 2025)</w:t>
      </w:r>
      <w:r w:rsidR="004F56A8" w:rsidRPr="00C052CF">
        <w:rPr>
          <w:lang w:val="en-GB"/>
        </w:rPr>
        <w:t>.</w:t>
      </w:r>
      <w:r w:rsidR="008A6A21" w:rsidRPr="00C052CF">
        <w:t xml:space="preserve"> </w:t>
      </w:r>
      <w:r w:rsidR="008A6A21" w:rsidRPr="00C052CF">
        <w:rPr>
          <w:lang w:val="en-GB"/>
        </w:rPr>
        <w:t>Achieving optimal safety necessitates a systematic evaluation of all operational aspects to identify potential risks and ensure their effective mitigation</w:t>
      </w:r>
      <w:r w:rsidR="00696E79" w:rsidRPr="00C052CF">
        <w:t xml:space="preserve"> (</w:t>
      </w:r>
      <w:r w:rsidR="00696E79" w:rsidRPr="00C052CF">
        <w:rPr>
          <w:lang w:val="en-GB"/>
        </w:rPr>
        <w:t>Adekitan, 2020)</w:t>
      </w:r>
      <w:r w:rsidR="008A6A21" w:rsidRPr="00C052CF">
        <w:rPr>
          <w:lang w:val="en-GB"/>
        </w:rPr>
        <w:t>.</w:t>
      </w:r>
    </w:p>
    <w:p w14:paraId="2BAA5AC8" w14:textId="5FE7F0CB" w:rsidR="00A04637" w:rsidRPr="00C052CF" w:rsidRDefault="00426B32" w:rsidP="00600535">
      <w:pPr>
        <w:pStyle w:val="CETBodytext"/>
        <w:rPr>
          <w:lang w:val="en-GB"/>
        </w:rPr>
      </w:pPr>
      <w:r w:rsidRPr="00C052CF">
        <w:rPr>
          <w:lang w:val="en-GB"/>
        </w:rPr>
        <w:t xml:space="preserve">In line with </w:t>
      </w:r>
      <w:r w:rsidR="00CD2528" w:rsidRPr="00C052CF">
        <w:rPr>
          <w:lang w:val="en-GB"/>
        </w:rPr>
        <w:t xml:space="preserve">the </w:t>
      </w:r>
      <w:r w:rsidR="008C7DA2" w:rsidRPr="00C052CF">
        <w:rPr>
          <w:lang w:val="en-GB"/>
        </w:rPr>
        <w:t xml:space="preserve">previous </w:t>
      </w:r>
      <w:r w:rsidR="00CD2528" w:rsidRPr="00C052CF">
        <w:rPr>
          <w:lang w:val="en-GB"/>
        </w:rPr>
        <w:t xml:space="preserve">definition, </w:t>
      </w:r>
      <w:r w:rsidR="00A30ADC" w:rsidRPr="00C052CF">
        <w:rPr>
          <w:lang w:val="en-GB"/>
        </w:rPr>
        <w:t>OE</w:t>
      </w:r>
      <w:r w:rsidR="00CD2528" w:rsidRPr="00C052CF">
        <w:rPr>
          <w:lang w:val="en-GB"/>
        </w:rPr>
        <w:t xml:space="preserve"> </w:t>
      </w:r>
      <w:r w:rsidR="00A04637" w:rsidRPr="00C052CF">
        <w:rPr>
          <w:lang w:val="en-GB"/>
        </w:rPr>
        <w:t xml:space="preserve">pertains primarily to </w:t>
      </w:r>
      <w:r w:rsidR="000A7C03" w:rsidRPr="00C052CF">
        <w:rPr>
          <w:lang w:val="en-GB"/>
        </w:rPr>
        <w:t>“</w:t>
      </w:r>
      <w:r w:rsidR="00A04637" w:rsidRPr="00C052CF">
        <w:rPr>
          <w:lang w:val="en-GB"/>
        </w:rPr>
        <w:t>occupational</w:t>
      </w:r>
      <w:r w:rsidR="000A7C03" w:rsidRPr="00C052CF">
        <w:rPr>
          <w:lang w:val="en-GB"/>
        </w:rPr>
        <w:t>”</w:t>
      </w:r>
      <w:r w:rsidR="00A04637" w:rsidRPr="00C052CF">
        <w:rPr>
          <w:lang w:val="en-GB"/>
        </w:rPr>
        <w:t xml:space="preserve"> safety</w:t>
      </w:r>
      <w:r w:rsidR="00CD2528" w:rsidRPr="00C052CF">
        <w:rPr>
          <w:lang w:val="en-GB"/>
        </w:rPr>
        <w:t xml:space="preserve">, </w:t>
      </w:r>
      <w:r w:rsidR="002125C9" w:rsidRPr="00C052CF">
        <w:rPr>
          <w:lang w:val="en-GB"/>
        </w:rPr>
        <w:t xml:space="preserve">in terms of workers’ </w:t>
      </w:r>
      <w:r w:rsidR="00A04637" w:rsidRPr="00C052CF">
        <w:rPr>
          <w:lang w:val="en-GB"/>
        </w:rPr>
        <w:t>protection from hazards</w:t>
      </w:r>
      <w:r w:rsidR="000A7C03" w:rsidRPr="00C052CF">
        <w:rPr>
          <w:lang w:val="en-GB"/>
        </w:rPr>
        <w:t xml:space="preserve">, </w:t>
      </w:r>
      <w:r w:rsidR="00A04637" w:rsidRPr="00C052CF">
        <w:rPr>
          <w:lang w:val="en-GB"/>
        </w:rPr>
        <w:t xml:space="preserve">rather than to </w:t>
      </w:r>
      <w:r w:rsidR="000A7C03" w:rsidRPr="00C052CF">
        <w:rPr>
          <w:lang w:val="en-GB"/>
        </w:rPr>
        <w:t>“</w:t>
      </w:r>
      <w:r w:rsidR="00A04637" w:rsidRPr="00C052CF">
        <w:rPr>
          <w:lang w:val="en-GB"/>
        </w:rPr>
        <w:t>process</w:t>
      </w:r>
      <w:r w:rsidR="000A7C03" w:rsidRPr="00C052CF">
        <w:rPr>
          <w:lang w:val="en-GB"/>
        </w:rPr>
        <w:t>”</w:t>
      </w:r>
      <w:r w:rsidR="00A04637" w:rsidRPr="00C052CF">
        <w:rPr>
          <w:lang w:val="en-GB"/>
        </w:rPr>
        <w:t xml:space="preserve"> safety</w:t>
      </w:r>
      <w:r w:rsidR="000A7C03" w:rsidRPr="00C052CF">
        <w:rPr>
          <w:lang w:val="en-GB"/>
        </w:rPr>
        <w:t xml:space="preserve">, intended as </w:t>
      </w:r>
      <w:r w:rsidR="00A04637" w:rsidRPr="00C052CF">
        <w:rPr>
          <w:lang w:val="en-GB"/>
        </w:rPr>
        <w:t>the prevention of major accidents,</w:t>
      </w:r>
      <w:r w:rsidR="002E492E" w:rsidRPr="00C052CF">
        <w:rPr>
          <w:lang w:val="en-GB"/>
        </w:rPr>
        <w:t xml:space="preserve"> such as </w:t>
      </w:r>
      <w:r w:rsidR="00A04637" w:rsidRPr="00C052CF">
        <w:rPr>
          <w:lang w:val="en-GB"/>
        </w:rPr>
        <w:t xml:space="preserve">uncontrolled releases of hazardous substances </w:t>
      </w:r>
      <w:r w:rsidR="002E492E" w:rsidRPr="00C052CF">
        <w:rPr>
          <w:lang w:val="en-GB"/>
        </w:rPr>
        <w:t xml:space="preserve">or </w:t>
      </w:r>
      <w:r w:rsidR="00A04637" w:rsidRPr="00C052CF">
        <w:rPr>
          <w:lang w:val="en-GB"/>
        </w:rPr>
        <w:t>catastrophic failures in high-risk industrial facilities (Pasman et al., 2009). However, the two domains are not independent</w:t>
      </w:r>
      <w:r w:rsidR="0079614C" w:rsidRPr="00C052CF">
        <w:rPr>
          <w:lang w:val="en-GB"/>
        </w:rPr>
        <w:t xml:space="preserve"> (Stefana &amp; Paltrinieri, 2020)</w:t>
      </w:r>
      <w:r w:rsidR="00A04637" w:rsidRPr="00C052CF">
        <w:rPr>
          <w:lang w:val="en-GB"/>
        </w:rPr>
        <w:t>: organizational practices underpin</w:t>
      </w:r>
      <w:r w:rsidR="001D1D96" w:rsidRPr="00C052CF">
        <w:rPr>
          <w:lang w:val="en-GB"/>
        </w:rPr>
        <w:t>ning</w:t>
      </w:r>
      <w:r w:rsidR="00A04637" w:rsidRPr="00C052CF">
        <w:rPr>
          <w:lang w:val="en-GB"/>
        </w:rPr>
        <w:t xml:space="preserve"> </w:t>
      </w:r>
      <w:r w:rsidR="00A30ADC" w:rsidRPr="00C052CF">
        <w:rPr>
          <w:lang w:val="en-GB"/>
        </w:rPr>
        <w:t>OE</w:t>
      </w:r>
      <w:r w:rsidR="00A04637" w:rsidRPr="00C052CF">
        <w:rPr>
          <w:lang w:val="en-GB"/>
        </w:rPr>
        <w:t xml:space="preserve"> </w:t>
      </w:r>
      <w:r w:rsidR="001D1D96" w:rsidRPr="00C052CF">
        <w:rPr>
          <w:lang w:val="en-GB"/>
        </w:rPr>
        <w:t xml:space="preserve">(e.g., </w:t>
      </w:r>
      <w:r w:rsidR="00A04637" w:rsidRPr="00C052CF">
        <w:rPr>
          <w:lang w:val="en-GB"/>
        </w:rPr>
        <w:t>lean thinking, procedural compliance, and people-centred management</w:t>
      </w:r>
      <w:r w:rsidR="001D1D96" w:rsidRPr="00C052CF">
        <w:rPr>
          <w:lang w:val="en-GB"/>
        </w:rPr>
        <w:t xml:space="preserve">) </w:t>
      </w:r>
      <w:r w:rsidR="00A04637" w:rsidRPr="00C052CF">
        <w:rPr>
          <w:lang w:val="en-GB"/>
        </w:rPr>
        <w:t xml:space="preserve">have been increasingly recognised as key enablers of effective process safety management systems in process </w:t>
      </w:r>
      <w:r w:rsidR="00A04637" w:rsidRPr="00C052CF">
        <w:rPr>
          <w:lang w:val="en-GB"/>
        </w:rPr>
        <w:lastRenderedPageBreak/>
        <w:t xml:space="preserve">industries. </w:t>
      </w:r>
      <w:r w:rsidR="001D1D96" w:rsidRPr="00C052CF">
        <w:rPr>
          <w:lang w:val="en-GB"/>
        </w:rPr>
        <w:t>O</w:t>
      </w:r>
      <w:r w:rsidR="00A04637" w:rsidRPr="00C052CF">
        <w:rPr>
          <w:lang w:val="en-GB"/>
        </w:rPr>
        <w:t xml:space="preserve">rganisations that embed safety into their operational culture and management routines tend to demonstrate stronger performance across both occupational and process safety dimensions (Hopkins, 2009). </w:t>
      </w:r>
    </w:p>
    <w:p w14:paraId="7D59A6C5" w14:textId="2A80C2DF" w:rsidR="00115934" w:rsidRPr="00C052CF" w:rsidRDefault="002324B7" w:rsidP="00115934">
      <w:pPr>
        <w:pStyle w:val="CETBodytext"/>
        <w:rPr>
          <w:lang w:val="en-GB"/>
        </w:rPr>
      </w:pPr>
      <w:r w:rsidRPr="00C052CF">
        <w:rPr>
          <w:lang w:val="en-GB"/>
        </w:rPr>
        <w:t xml:space="preserve">Gathering the </w:t>
      </w:r>
      <w:r w:rsidR="00992921" w:rsidRPr="00C052CF">
        <w:rPr>
          <w:lang w:val="en-GB"/>
        </w:rPr>
        <w:t xml:space="preserve">considerations </w:t>
      </w:r>
      <w:r w:rsidR="00F26F2B" w:rsidRPr="00C052CF">
        <w:rPr>
          <w:lang w:val="en-GB"/>
        </w:rPr>
        <w:t>above</w:t>
      </w:r>
      <w:r w:rsidRPr="00C052CF">
        <w:rPr>
          <w:lang w:val="en-GB"/>
        </w:rPr>
        <w:t xml:space="preserve">, </w:t>
      </w:r>
      <w:r w:rsidR="00992921" w:rsidRPr="00C052CF">
        <w:rPr>
          <w:lang w:val="en-GB"/>
        </w:rPr>
        <w:t xml:space="preserve">a </w:t>
      </w:r>
      <w:r w:rsidR="002D21A5" w:rsidRPr="00C052CF">
        <w:rPr>
          <w:lang w:val="en-GB"/>
        </w:rPr>
        <w:t xml:space="preserve">relationship </w:t>
      </w:r>
      <w:r w:rsidR="00F26F2B" w:rsidRPr="00C052CF">
        <w:rPr>
          <w:lang w:val="en-GB"/>
        </w:rPr>
        <w:t xml:space="preserve">between </w:t>
      </w:r>
      <w:r w:rsidR="00A3175E" w:rsidRPr="00C052CF">
        <w:rPr>
          <w:lang w:val="en-GB"/>
        </w:rPr>
        <w:t xml:space="preserve">organizational dimensions, overall contributing to </w:t>
      </w:r>
      <w:r w:rsidR="005E19B7" w:rsidRPr="00C052CF">
        <w:rPr>
          <w:lang w:val="en-GB"/>
        </w:rPr>
        <w:t>OE</w:t>
      </w:r>
      <w:r w:rsidR="00A3175E" w:rsidRPr="00C052CF">
        <w:rPr>
          <w:lang w:val="en-GB"/>
        </w:rPr>
        <w:t>, and</w:t>
      </w:r>
      <w:r w:rsidR="00421C68" w:rsidRPr="00C052CF">
        <w:rPr>
          <w:lang w:val="en-GB"/>
        </w:rPr>
        <w:t xml:space="preserve"> </w:t>
      </w:r>
      <w:r w:rsidR="00F26F2B" w:rsidRPr="00C052CF">
        <w:rPr>
          <w:lang w:val="en-GB"/>
        </w:rPr>
        <w:t xml:space="preserve">the corresponding </w:t>
      </w:r>
      <w:r w:rsidRPr="00C052CF">
        <w:rPr>
          <w:lang w:val="en-GB"/>
        </w:rPr>
        <w:t xml:space="preserve">occupational </w:t>
      </w:r>
      <w:r w:rsidR="00F26F2B" w:rsidRPr="00C052CF">
        <w:rPr>
          <w:lang w:val="en-GB"/>
        </w:rPr>
        <w:t>safety level of a company</w:t>
      </w:r>
      <w:r w:rsidR="00410364" w:rsidRPr="00C052CF">
        <w:rPr>
          <w:lang w:val="en-GB"/>
        </w:rPr>
        <w:t xml:space="preserve"> can be conjectured</w:t>
      </w:r>
      <w:r w:rsidR="000E5DCC" w:rsidRPr="00C052CF">
        <w:rPr>
          <w:lang w:val="en-GB"/>
        </w:rPr>
        <w:t xml:space="preserve">. The presence </w:t>
      </w:r>
      <w:r w:rsidR="00640625" w:rsidRPr="00C052CF">
        <w:rPr>
          <w:lang w:val="en-GB"/>
        </w:rPr>
        <w:t xml:space="preserve">and extent </w:t>
      </w:r>
      <w:r w:rsidR="000E5DCC" w:rsidRPr="00C052CF">
        <w:rPr>
          <w:lang w:val="en-GB"/>
        </w:rPr>
        <w:t xml:space="preserve">of this kind of relationship </w:t>
      </w:r>
      <w:r w:rsidR="00640625" w:rsidRPr="00C052CF">
        <w:rPr>
          <w:lang w:val="en-GB"/>
        </w:rPr>
        <w:t xml:space="preserve">are </w:t>
      </w:r>
      <w:r w:rsidR="000E5DCC" w:rsidRPr="00C052CF">
        <w:rPr>
          <w:lang w:val="en-GB"/>
        </w:rPr>
        <w:t>investigated in the present study, w</w:t>
      </w:r>
      <w:r w:rsidR="008E25AC" w:rsidRPr="00C052CF">
        <w:rPr>
          <w:lang w:val="en-GB"/>
        </w:rPr>
        <w:t xml:space="preserve">hose </w:t>
      </w:r>
      <w:r w:rsidR="00F26F2B" w:rsidRPr="00C052CF">
        <w:rPr>
          <w:lang w:val="en-GB"/>
        </w:rPr>
        <w:t>key question is: “</w:t>
      </w:r>
      <w:r w:rsidR="008E25AC" w:rsidRPr="00C052CF">
        <w:rPr>
          <w:lang w:val="en-GB"/>
        </w:rPr>
        <w:t>Is operational excellence related to safety performance?</w:t>
      </w:r>
      <w:r w:rsidR="00F26F2B" w:rsidRPr="00C052CF">
        <w:rPr>
          <w:lang w:val="en-GB"/>
        </w:rPr>
        <w:t xml:space="preserve">”. To answer this question, an empirical analysis </w:t>
      </w:r>
      <w:r w:rsidR="005120D3" w:rsidRPr="00C052CF">
        <w:rPr>
          <w:lang w:val="en-GB"/>
        </w:rPr>
        <w:t xml:space="preserve">exploiting </w:t>
      </w:r>
      <w:r w:rsidR="00F1214B" w:rsidRPr="00C052CF">
        <w:rPr>
          <w:lang w:val="en-GB"/>
        </w:rPr>
        <w:t>an</w:t>
      </w:r>
      <w:r w:rsidR="005120D3" w:rsidRPr="00C052CF">
        <w:rPr>
          <w:lang w:val="en-GB"/>
        </w:rPr>
        <w:t xml:space="preserve"> </w:t>
      </w:r>
      <w:r w:rsidR="006F6536" w:rsidRPr="00C052CF">
        <w:rPr>
          <w:lang w:val="en-GB"/>
        </w:rPr>
        <w:t xml:space="preserve">82-item questionnaire </w:t>
      </w:r>
      <w:r w:rsidR="00F26F2B" w:rsidRPr="00C052CF">
        <w:rPr>
          <w:lang w:val="en-GB"/>
        </w:rPr>
        <w:t xml:space="preserve">survey </w:t>
      </w:r>
      <w:r w:rsidR="002350E2" w:rsidRPr="00C052CF">
        <w:rPr>
          <w:lang w:val="en-GB"/>
        </w:rPr>
        <w:t xml:space="preserve">was conducted </w:t>
      </w:r>
      <w:r w:rsidR="00F26F2B" w:rsidRPr="00C052CF">
        <w:rPr>
          <w:lang w:val="en-GB"/>
        </w:rPr>
        <w:t xml:space="preserve">out on a sample of </w:t>
      </w:r>
      <w:r w:rsidR="00115934" w:rsidRPr="00C052CF">
        <w:rPr>
          <w:lang w:val="en-GB"/>
        </w:rPr>
        <w:t>450 employees working in</w:t>
      </w:r>
      <w:r w:rsidR="00F26F2B" w:rsidRPr="00C052CF">
        <w:rPr>
          <w:lang w:val="en-GB"/>
        </w:rPr>
        <w:t xml:space="preserve"> manufacturing companies in Italy</w:t>
      </w:r>
      <w:r w:rsidR="00DC43CA" w:rsidRPr="00C052CF">
        <w:rPr>
          <w:lang w:val="en-GB"/>
        </w:rPr>
        <w:t xml:space="preserve">; the survey explored six dimensions overall, related to both </w:t>
      </w:r>
      <w:r w:rsidR="005E19B7" w:rsidRPr="00C052CF">
        <w:rPr>
          <w:lang w:val="en-GB"/>
        </w:rPr>
        <w:t>OE</w:t>
      </w:r>
      <w:r w:rsidR="00DC43CA" w:rsidRPr="00C052CF">
        <w:rPr>
          <w:lang w:val="en-GB"/>
        </w:rPr>
        <w:t xml:space="preserve"> and safety</w:t>
      </w:r>
      <w:r w:rsidR="00115934" w:rsidRPr="00C052CF">
        <w:rPr>
          <w:lang w:val="en-GB"/>
        </w:rPr>
        <w:t>.</w:t>
      </w:r>
    </w:p>
    <w:p w14:paraId="38765741" w14:textId="631394EA" w:rsidR="00F26F2B" w:rsidRPr="00C052CF" w:rsidRDefault="006C1FF1" w:rsidP="00600535">
      <w:pPr>
        <w:pStyle w:val="CETBodytext"/>
        <w:rPr>
          <w:lang w:val="en-GB"/>
        </w:rPr>
      </w:pPr>
      <w:r w:rsidRPr="00C052CF">
        <w:rPr>
          <w:lang w:val="en-GB"/>
        </w:rPr>
        <w:t xml:space="preserve">The remainder of the paper is organized as follows. In the next section, materials and method are detailed. Results of the empirical investigation are proposed in Section </w:t>
      </w:r>
      <w:r w:rsidR="00C7272F" w:rsidRPr="00C052CF">
        <w:rPr>
          <w:lang w:val="en-GB"/>
        </w:rPr>
        <w:t>3</w:t>
      </w:r>
      <w:r w:rsidRPr="00C052CF">
        <w:rPr>
          <w:lang w:val="en-GB"/>
        </w:rPr>
        <w:t>. Concluding remarks and future research directions are finally presented</w:t>
      </w:r>
      <w:r w:rsidR="00F26F2B" w:rsidRPr="00C052CF">
        <w:rPr>
          <w:lang w:val="en-GB"/>
        </w:rPr>
        <w:t>.</w:t>
      </w:r>
    </w:p>
    <w:p w14:paraId="5741900F" w14:textId="6F81DD46" w:rsidR="00453E24" w:rsidRPr="00C052CF" w:rsidRDefault="00A14C3D" w:rsidP="00453E24">
      <w:pPr>
        <w:pStyle w:val="CETHeading1"/>
        <w:rPr>
          <w:lang w:val="en-GB"/>
        </w:rPr>
      </w:pPr>
      <w:r w:rsidRPr="00C052CF">
        <w:rPr>
          <w:lang w:val="en-GB"/>
        </w:rPr>
        <w:t>Materials and method</w:t>
      </w:r>
      <w:r w:rsidR="00B1022C" w:rsidRPr="00C052CF">
        <w:rPr>
          <w:lang w:val="en-GB"/>
        </w:rPr>
        <w:t>s</w:t>
      </w:r>
    </w:p>
    <w:p w14:paraId="0A53AE14" w14:textId="5A6F4CCB" w:rsidR="006160ED" w:rsidRPr="00C052CF" w:rsidRDefault="00A14C3D" w:rsidP="008F7A1E">
      <w:pPr>
        <w:pStyle w:val="CETBodytext"/>
        <w:rPr>
          <w:lang w:val="en-GB"/>
        </w:rPr>
      </w:pPr>
      <w:r w:rsidRPr="00C052CF">
        <w:rPr>
          <w:lang w:val="en-GB"/>
        </w:rPr>
        <w:t xml:space="preserve">An </w:t>
      </w:r>
      <w:r w:rsidR="00A561F6" w:rsidRPr="00C052CF">
        <w:rPr>
          <w:i/>
          <w:iCs/>
          <w:lang w:val="en-GB"/>
        </w:rPr>
        <w:t>ad hoc</w:t>
      </w:r>
      <w:r w:rsidRPr="00C052CF">
        <w:rPr>
          <w:lang w:val="en-GB"/>
        </w:rPr>
        <w:t xml:space="preserve"> questionnaire was designed to collect data useful to test the presence of correlations between the company’s safety level and the implementation of </w:t>
      </w:r>
      <w:r w:rsidR="005E19B7" w:rsidRPr="00C052CF">
        <w:rPr>
          <w:lang w:val="en-GB"/>
        </w:rPr>
        <w:t>OE</w:t>
      </w:r>
      <w:r w:rsidR="00B170CE" w:rsidRPr="00C052CF">
        <w:rPr>
          <w:lang w:val="en-GB"/>
        </w:rPr>
        <w:t xml:space="preserve"> </w:t>
      </w:r>
      <w:r w:rsidRPr="00C052CF">
        <w:rPr>
          <w:lang w:val="en-GB"/>
        </w:rPr>
        <w:t>practices.</w:t>
      </w:r>
      <w:r w:rsidR="00B7292F" w:rsidRPr="00C052CF">
        <w:rPr>
          <w:lang w:val="en-GB"/>
        </w:rPr>
        <w:t xml:space="preserve"> A web version of the questionnaire was prepared, to facilitate dissemination</w:t>
      </w:r>
      <w:r w:rsidR="00FA6E90" w:rsidRPr="00C052CF">
        <w:rPr>
          <w:lang w:val="en-GB"/>
        </w:rPr>
        <w:t xml:space="preserve"> and filling, as well as collection </w:t>
      </w:r>
      <w:r w:rsidR="00B7292F" w:rsidRPr="00C052CF">
        <w:rPr>
          <w:lang w:val="en-GB"/>
        </w:rPr>
        <w:t xml:space="preserve">of the </w:t>
      </w:r>
      <w:r w:rsidR="00FA6E90" w:rsidRPr="00C052CF">
        <w:rPr>
          <w:lang w:val="en-GB"/>
        </w:rPr>
        <w:t xml:space="preserve">responses. </w:t>
      </w:r>
      <w:r w:rsidR="00E41AAC" w:rsidRPr="00C052CF">
        <w:rPr>
          <w:lang w:val="en-GB"/>
        </w:rPr>
        <w:t xml:space="preserve">A preliminary version was pre-tested on a sample of 15 manufacturing companies known to the University of Parma because of past research collaborations. </w:t>
      </w:r>
      <w:r w:rsidR="00266D83" w:rsidRPr="00C052CF">
        <w:rPr>
          <w:lang w:val="en-GB"/>
        </w:rPr>
        <w:t>Th</w:t>
      </w:r>
      <w:r w:rsidR="00E41AAC" w:rsidRPr="00C052CF">
        <w:rPr>
          <w:lang w:val="en-GB"/>
        </w:rPr>
        <w:t>e</w:t>
      </w:r>
      <w:r w:rsidR="0066235E" w:rsidRPr="00C052CF">
        <w:rPr>
          <w:lang w:val="en-GB"/>
        </w:rPr>
        <w:t>se</w:t>
      </w:r>
      <w:r w:rsidR="00266D83" w:rsidRPr="00C052CF">
        <w:rPr>
          <w:lang w:val="en-GB"/>
        </w:rPr>
        <w:t xml:space="preserve"> </w:t>
      </w:r>
      <w:r w:rsidR="0066235E" w:rsidRPr="00C052CF">
        <w:rPr>
          <w:lang w:val="en-GB"/>
        </w:rPr>
        <w:t>companies were con</w:t>
      </w:r>
      <w:r w:rsidR="008749DF" w:rsidRPr="00C052CF">
        <w:rPr>
          <w:lang w:val="en-GB"/>
        </w:rPr>
        <w:t xml:space="preserve">tacted </w:t>
      </w:r>
      <w:r w:rsidR="00E41AAC" w:rsidRPr="00C052CF">
        <w:rPr>
          <w:lang w:val="en-GB"/>
        </w:rPr>
        <w:t xml:space="preserve">by </w:t>
      </w:r>
      <w:r w:rsidR="00266D83" w:rsidRPr="00C052CF">
        <w:rPr>
          <w:lang w:val="en-GB"/>
        </w:rPr>
        <w:t>e-mail</w:t>
      </w:r>
      <w:r w:rsidR="008749DF" w:rsidRPr="00C052CF">
        <w:rPr>
          <w:lang w:val="en-GB"/>
        </w:rPr>
        <w:t xml:space="preserve"> and 11 of them </w:t>
      </w:r>
      <w:r w:rsidR="0077034E" w:rsidRPr="00C052CF">
        <w:rPr>
          <w:lang w:val="en-GB"/>
        </w:rPr>
        <w:t xml:space="preserve">answered the whole questionnaire comprehensively, suggesting that, in general, the questions were sufficiently </w:t>
      </w:r>
      <w:r w:rsidR="008C74FC" w:rsidRPr="00C052CF">
        <w:rPr>
          <w:lang w:val="en-GB"/>
        </w:rPr>
        <w:t>easy to understand</w:t>
      </w:r>
      <w:r w:rsidR="0077034E" w:rsidRPr="00C052CF">
        <w:rPr>
          <w:lang w:val="en-GB"/>
        </w:rPr>
        <w:t xml:space="preserve">; </w:t>
      </w:r>
      <w:r w:rsidR="008C74FC" w:rsidRPr="00C052CF">
        <w:rPr>
          <w:lang w:val="en-GB"/>
        </w:rPr>
        <w:t xml:space="preserve">nonetheless, </w:t>
      </w:r>
      <w:proofErr w:type="gramStart"/>
      <w:r w:rsidR="009275C9" w:rsidRPr="00C052CF">
        <w:rPr>
          <w:lang w:val="en-GB"/>
        </w:rPr>
        <w:t xml:space="preserve">on the </w:t>
      </w:r>
      <w:r w:rsidR="0077034E" w:rsidRPr="00C052CF">
        <w:rPr>
          <w:lang w:val="en-GB"/>
        </w:rPr>
        <w:t>basis</w:t>
      </w:r>
      <w:r w:rsidR="009275C9" w:rsidRPr="00C052CF">
        <w:rPr>
          <w:lang w:val="en-GB"/>
        </w:rPr>
        <w:t xml:space="preserve"> of</w:t>
      </w:r>
      <w:proofErr w:type="gramEnd"/>
      <w:r w:rsidR="009275C9" w:rsidRPr="00C052CF">
        <w:rPr>
          <w:lang w:val="en-GB"/>
        </w:rPr>
        <w:t xml:space="preserve"> the responses </w:t>
      </w:r>
      <w:r w:rsidR="0077034E" w:rsidRPr="00C052CF">
        <w:rPr>
          <w:lang w:val="en-GB"/>
        </w:rPr>
        <w:t>from the remaining 4 companies</w:t>
      </w:r>
      <w:r w:rsidR="009275C9" w:rsidRPr="00C052CF">
        <w:rPr>
          <w:lang w:val="en-GB"/>
        </w:rPr>
        <w:t>,</w:t>
      </w:r>
      <w:r w:rsidR="00266D83" w:rsidRPr="00C052CF">
        <w:rPr>
          <w:lang w:val="en-GB"/>
        </w:rPr>
        <w:t xml:space="preserve"> some </w:t>
      </w:r>
      <w:r w:rsidR="008C74FC" w:rsidRPr="00C052CF">
        <w:rPr>
          <w:lang w:val="en-GB"/>
        </w:rPr>
        <w:t xml:space="preserve">parts of the questionnaire </w:t>
      </w:r>
      <w:r w:rsidR="009275C9" w:rsidRPr="00C052CF">
        <w:rPr>
          <w:lang w:val="en-GB"/>
        </w:rPr>
        <w:t>were reworded to improve their clarity</w:t>
      </w:r>
      <w:r w:rsidR="00266D83" w:rsidRPr="00C052CF">
        <w:rPr>
          <w:lang w:val="en-GB"/>
        </w:rPr>
        <w:t xml:space="preserve">. </w:t>
      </w:r>
      <w:r w:rsidR="009275C9" w:rsidRPr="00C052CF">
        <w:rPr>
          <w:lang w:val="en-GB"/>
        </w:rPr>
        <w:t>Then, t</w:t>
      </w:r>
      <w:r w:rsidR="00266D83" w:rsidRPr="00C052CF">
        <w:rPr>
          <w:lang w:val="en-GB"/>
        </w:rPr>
        <w:t xml:space="preserve">he questionnaire, in its final form, was sent </w:t>
      </w:r>
      <w:r w:rsidR="009275C9" w:rsidRPr="00C052CF">
        <w:rPr>
          <w:lang w:val="en-GB"/>
        </w:rPr>
        <w:t xml:space="preserve">by </w:t>
      </w:r>
      <w:r w:rsidR="00266D83" w:rsidRPr="00C052CF">
        <w:rPr>
          <w:lang w:val="en-GB"/>
        </w:rPr>
        <w:t>e-mail to approximately 2,000 companies</w:t>
      </w:r>
      <w:r w:rsidR="0029095F" w:rsidRPr="00C052CF">
        <w:rPr>
          <w:lang w:val="en-GB"/>
        </w:rPr>
        <w:t xml:space="preserve">, taken randomly from </w:t>
      </w:r>
      <w:r w:rsidR="009275C9" w:rsidRPr="00C052CF">
        <w:rPr>
          <w:lang w:val="en-GB"/>
        </w:rPr>
        <w:t xml:space="preserve">available industrial databases (e.g., the </w:t>
      </w:r>
      <w:r w:rsidR="00266D83" w:rsidRPr="00C052CF">
        <w:rPr>
          <w:lang w:val="en-GB"/>
        </w:rPr>
        <w:t xml:space="preserve">Kompass database </w:t>
      </w:r>
      <w:r w:rsidR="009275C9" w:rsidRPr="00C052CF">
        <w:rPr>
          <w:lang w:val="en-GB"/>
        </w:rPr>
        <w:t xml:space="preserve">- </w:t>
      </w:r>
      <w:hyperlink r:id="rId10" w:history="1">
        <w:r w:rsidR="009275C9" w:rsidRPr="00C052CF">
          <w:rPr>
            <w:rStyle w:val="Collegamentoipertestuale"/>
            <w:lang w:val="en-GB"/>
          </w:rPr>
          <w:t>www.kompass.com</w:t>
        </w:r>
      </w:hyperlink>
      <w:r w:rsidR="009275C9" w:rsidRPr="00C052CF">
        <w:rPr>
          <w:lang w:val="en-GB"/>
        </w:rPr>
        <w:t xml:space="preserve">; </w:t>
      </w:r>
      <w:r w:rsidR="00266D83" w:rsidRPr="00C052CF">
        <w:rPr>
          <w:lang w:val="en-GB"/>
        </w:rPr>
        <w:t>Icribis</w:t>
      </w:r>
      <w:r w:rsidR="009275C9" w:rsidRPr="00C052CF">
        <w:rPr>
          <w:lang w:val="en-GB"/>
        </w:rPr>
        <w:t xml:space="preserve"> - </w:t>
      </w:r>
      <w:hyperlink r:id="rId11" w:history="1">
        <w:r w:rsidR="009275C9" w:rsidRPr="00C052CF">
          <w:rPr>
            <w:rStyle w:val="Collegamentoipertestuale"/>
            <w:lang w:val="en-GB"/>
          </w:rPr>
          <w:t>www.Icribis.com</w:t>
        </w:r>
      </w:hyperlink>
      <w:r w:rsidR="009275C9" w:rsidRPr="00C052CF">
        <w:rPr>
          <w:lang w:val="en-GB"/>
        </w:rPr>
        <w:t xml:space="preserve">; </w:t>
      </w:r>
      <w:r w:rsidR="00266D83" w:rsidRPr="00C052CF">
        <w:rPr>
          <w:lang w:val="en-GB"/>
        </w:rPr>
        <w:t xml:space="preserve">and EuroPages </w:t>
      </w:r>
      <w:r w:rsidR="009275C9" w:rsidRPr="00C052CF">
        <w:rPr>
          <w:lang w:val="en-GB"/>
        </w:rPr>
        <w:t xml:space="preserve">- </w:t>
      </w:r>
      <w:hyperlink r:id="rId12" w:history="1">
        <w:r w:rsidR="0077034E" w:rsidRPr="00C052CF">
          <w:rPr>
            <w:rStyle w:val="Collegamentoipertestuale"/>
            <w:lang w:val="en-GB"/>
          </w:rPr>
          <w:t>www.EuroPages.it</w:t>
        </w:r>
      </w:hyperlink>
      <w:r w:rsidR="00266D83" w:rsidRPr="00C052CF">
        <w:rPr>
          <w:lang w:val="en-GB"/>
        </w:rPr>
        <w:t>)</w:t>
      </w:r>
      <w:r w:rsidR="0077034E" w:rsidRPr="00C052CF">
        <w:rPr>
          <w:lang w:val="en-GB"/>
        </w:rPr>
        <w:t xml:space="preserve">, </w:t>
      </w:r>
      <w:r w:rsidR="00E14637" w:rsidRPr="00C052CF">
        <w:rPr>
          <w:lang w:val="en-GB"/>
        </w:rPr>
        <w:t xml:space="preserve">looking at </w:t>
      </w:r>
      <w:r w:rsidR="008F7A1E" w:rsidRPr="00C052CF">
        <w:rPr>
          <w:lang w:val="en-GB"/>
        </w:rPr>
        <w:t xml:space="preserve">manufacturing </w:t>
      </w:r>
      <w:r w:rsidR="0077034E" w:rsidRPr="00C052CF">
        <w:rPr>
          <w:lang w:val="en-GB"/>
        </w:rPr>
        <w:t xml:space="preserve">companies located in Italy. </w:t>
      </w:r>
      <w:r w:rsidR="008F7A1E" w:rsidRPr="00C052CF">
        <w:rPr>
          <w:lang w:val="en-GB"/>
        </w:rPr>
        <w:t xml:space="preserve">A usable set of </w:t>
      </w:r>
      <w:r w:rsidR="00A552C2" w:rsidRPr="00C052CF">
        <w:rPr>
          <w:lang w:val="en-GB"/>
        </w:rPr>
        <w:t xml:space="preserve">450 </w:t>
      </w:r>
      <w:r w:rsidR="008F7A1E" w:rsidRPr="00C052CF">
        <w:rPr>
          <w:lang w:val="en-GB"/>
        </w:rPr>
        <w:t>responses</w:t>
      </w:r>
      <w:r w:rsidR="009C7EAD" w:rsidRPr="00C052CF">
        <w:rPr>
          <w:lang w:val="en-GB"/>
        </w:rPr>
        <w:t xml:space="preserve"> </w:t>
      </w:r>
      <w:r w:rsidR="008F7A1E" w:rsidRPr="00C052CF">
        <w:rPr>
          <w:lang w:val="en-GB"/>
        </w:rPr>
        <w:t>were obtained</w:t>
      </w:r>
      <w:r w:rsidR="001C34CD" w:rsidRPr="00C052CF">
        <w:rPr>
          <w:lang w:val="en-GB"/>
        </w:rPr>
        <w:t>; this was considered adequate for the present study as the size</w:t>
      </w:r>
      <w:r w:rsidR="009C7EAD" w:rsidRPr="00C052CF">
        <w:rPr>
          <w:lang w:val="en-GB"/>
        </w:rPr>
        <w:t xml:space="preserve"> is </w:t>
      </w:r>
      <w:r w:rsidR="000C74B3" w:rsidRPr="00C052CF">
        <w:rPr>
          <w:lang w:val="en-GB"/>
        </w:rPr>
        <w:t>above the recommended value of five times the number of items included in a questionnaire</w:t>
      </w:r>
      <w:r w:rsidR="005B4CAB" w:rsidRPr="00C052CF">
        <w:rPr>
          <w:lang w:val="en-GB"/>
        </w:rPr>
        <w:t xml:space="preserve"> and thus is </w:t>
      </w:r>
      <w:r w:rsidR="001C34CD" w:rsidRPr="00C052CF">
        <w:rPr>
          <w:lang w:val="en-GB"/>
        </w:rPr>
        <w:t xml:space="preserve">large enough </w:t>
      </w:r>
      <w:r w:rsidR="000C74B3" w:rsidRPr="00C052CF">
        <w:rPr>
          <w:lang w:val="en-GB"/>
        </w:rPr>
        <w:t xml:space="preserve">to ensure statistical significance of the analyses made (Malhotra and Grover, 1998). </w:t>
      </w:r>
      <w:r w:rsidR="00B7292F" w:rsidRPr="00C052CF">
        <w:rPr>
          <w:lang w:val="en-GB"/>
        </w:rPr>
        <w:t xml:space="preserve">The data collection lasted approximately from </w:t>
      </w:r>
      <w:r w:rsidR="0097613D" w:rsidRPr="00C052CF">
        <w:rPr>
          <w:lang w:val="en-GB"/>
        </w:rPr>
        <w:t>October</w:t>
      </w:r>
      <w:r w:rsidR="00B7292F" w:rsidRPr="00C052CF">
        <w:rPr>
          <w:lang w:val="en-GB"/>
        </w:rPr>
        <w:t xml:space="preserve"> 202</w:t>
      </w:r>
      <w:r w:rsidR="0097613D" w:rsidRPr="00C052CF">
        <w:rPr>
          <w:lang w:val="en-GB"/>
        </w:rPr>
        <w:t>5</w:t>
      </w:r>
      <w:r w:rsidR="00B7292F" w:rsidRPr="00C052CF">
        <w:rPr>
          <w:lang w:val="en-GB"/>
        </w:rPr>
        <w:t xml:space="preserve"> to the beginning of </w:t>
      </w:r>
      <w:r w:rsidR="0097613D" w:rsidRPr="00C052CF">
        <w:rPr>
          <w:lang w:val="en-GB"/>
        </w:rPr>
        <w:t>December</w:t>
      </w:r>
      <w:r w:rsidR="00B7292F" w:rsidRPr="00C052CF">
        <w:rPr>
          <w:lang w:val="en-GB"/>
        </w:rPr>
        <w:t xml:space="preserve"> 202</w:t>
      </w:r>
      <w:r w:rsidR="0097613D" w:rsidRPr="00C052CF">
        <w:rPr>
          <w:lang w:val="en-GB"/>
        </w:rPr>
        <w:t>5.</w:t>
      </w:r>
    </w:p>
    <w:p w14:paraId="0992F7E9" w14:textId="026DE490" w:rsidR="00002E13" w:rsidRPr="00C052CF" w:rsidRDefault="006160ED" w:rsidP="00002E13">
      <w:pPr>
        <w:pStyle w:val="CETBodytext"/>
        <w:rPr>
          <w:lang w:val="en-GB"/>
        </w:rPr>
      </w:pPr>
      <w:r w:rsidRPr="00C052CF">
        <w:rPr>
          <w:lang w:val="en-GB"/>
        </w:rPr>
        <w:t xml:space="preserve">According to the research question </w:t>
      </w:r>
      <w:r w:rsidR="008C7B5D" w:rsidRPr="00C052CF">
        <w:rPr>
          <w:lang w:val="en-GB"/>
        </w:rPr>
        <w:t>of this study</w:t>
      </w:r>
      <w:r w:rsidRPr="00C052CF">
        <w:rPr>
          <w:lang w:val="en-GB"/>
        </w:rPr>
        <w:t xml:space="preserve">, the questionnaire aims at assessing the presence of </w:t>
      </w:r>
      <w:r w:rsidR="008C7B5D" w:rsidRPr="00C052CF">
        <w:rPr>
          <w:lang w:val="en-GB"/>
        </w:rPr>
        <w:t xml:space="preserve">relationships </w:t>
      </w:r>
      <w:r w:rsidRPr="00C052CF">
        <w:rPr>
          <w:lang w:val="en-GB"/>
        </w:rPr>
        <w:t>between the company</w:t>
      </w:r>
      <w:r w:rsidR="008C7B5D" w:rsidRPr="00C052CF">
        <w:rPr>
          <w:lang w:val="en-GB"/>
        </w:rPr>
        <w:t>’s</w:t>
      </w:r>
      <w:r w:rsidRPr="00C052CF">
        <w:rPr>
          <w:lang w:val="en-GB"/>
        </w:rPr>
        <w:t xml:space="preserve"> safety level and the </w:t>
      </w:r>
      <w:r w:rsidR="008C7B5D" w:rsidRPr="00C052CF">
        <w:rPr>
          <w:lang w:val="en-GB"/>
        </w:rPr>
        <w:t xml:space="preserve">implementation </w:t>
      </w:r>
      <w:r w:rsidRPr="00C052CF">
        <w:rPr>
          <w:lang w:val="en-GB"/>
        </w:rPr>
        <w:t xml:space="preserve">of </w:t>
      </w:r>
      <w:r w:rsidR="00EE2813" w:rsidRPr="00C052CF">
        <w:rPr>
          <w:lang w:val="en-GB"/>
        </w:rPr>
        <w:t>OE</w:t>
      </w:r>
      <w:r w:rsidR="00B170CE" w:rsidRPr="00C052CF">
        <w:rPr>
          <w:lang w:val="en-GB"/>
        </w:rPr>
        <w:t xml:space="preserve"> </w:t>
      </w:r>
      <w:r w:rsidRPr="00C052CF">
        <w:rPr>
          <w:lang w:val="en-GB"/>
        </w:rPr>
        <w:t xml:space="preserve">practices. To achieve this aim, the questionnaire </w:t>
      </w:r>
      <w:r w:rsidR="008C7B5D" w:rsidRPr="00C052CF">
        <w:rPr>
          <w:lang w:val="en-GB"/>
        </w:rPr>
        <w:t xml:space="preserve">is </w:t>
      </w:r>
      <w:r w:rsidRPr="00C052CF">
        <w:rPr>
          <w:lang w:val="en-GB"/>
        </w:rPr>
        <w:t xml:space="preserve">organized into </w:t>
      </w:r>
      <w:r w:rsidR="00D4779D" w:rsidRPr="00C052CF">
        <w:rPr>
          <w:lang w:val="en-GB"/>
        </w:rPr>
        <w:t>6</w:t>
      </w:r>
      <w:r w:rsidRPr="00C052CF">
        <w:rPr>
          <w:lang w:val="en-GB"/>
        </w:rPr>
        <w:t xml:space="preserve"> sections</w:t>
      </w:r>
      <w:r w:rsidR="00002E13" w:rsidRPr="00C052CF">
        <w:rPr>
          <w:lang w:val="en-GB"/>
        </w:rPr>
        <w:t>:</w:t>
      </w:r>
    </w:p>
    <w:p w14:paraId="5C3FF889" w14:textId="3C4C487F" w:rsidR="00002E13" w:rsidRPr="00C052CF" w:rsidRDefault="00002E13" w:rsidP="00002E13">
      <w:pPr>
        <w:pStyle w:val="CETnumberingbullets"/>
      </w:pPr>
      <w:bookmarkStart w:id="1" w:name="_Hlk219465769"/>
      <w:r w:rsidRPr="00C052CF">
        <w:rPr>
          <w:i/>
          <w:iCs/>
        </w:rPr>
        <w:t>Safety compliance</w:t>
      </w:r>
      <w:r w:rsidR="00E93820" w:rsidRPr="00C052CF">
        <w:t xml:space="preserve"> </w:t>
      </w:r>
      <w:r w:rsidR="008C7B5D" w:rsidRPr="00C052CF">
        <w:t xml:space="preserve">– it </w:t>
      </w:r>
      <w:r w:rsidR="00356B77" w:rsidRPr="00C052CF">
        <w:t xml:space="preserve">includes </w:t>
      </w:r>
      <w:r w:rsidR="005D61D2" w:rsidRPr="00C052CF">
        <w:t>10</w:t>
      </w:r>
      <w:r w:rsidR="00356B77" w:rsidRPr="00C052CF">
        <w:t xml:space="preserve"> items relating to </w:t>
      </w:r>
      <w:r w:rsidRPr="00C052CF">
        <w:t>investigate</w:t>
      </w:r>
      <w:r w:rsidR="00ED0BF8" w:rsidRPr="00C052CF">
        <w:t xml:space="preserve"> </w:t>
      </w:r>
      <w:r w:rsidR="002659CF" w:rsidRPr="00C052CF">
        <w:t xml:space="preserve">the </w:t>
      </w:r>
      <w:r w:rsidR="00B470C2" w:rsidRPr="00C052CF">
        <w:t xml:space="preserve">continuous </w:t>
      </w:r>
      <w:r w:rsidR="00ED0BF8" w:rsidRPr="00C052CF">
        <w:t xml:space="preserve">process of meeting </w:t>
      </w:r>
      <w:r w:rsidR="00B470C2" w:rsidRPr="00C052CF">
        <w:t xml:space="preserve">regulations, to guarantee </w:t>
      </w:r>
      <w:r w:rsidR="00ED0BF8" w:rsidRPr="00C052CF">
        <w:t xml:space="preserve">the occupational health and safety of employees, </w:t>
      </w:r>
      <w:r w:rsidR="00B470C2" w:rsidRPr="00C052CF">
        <w:t xml:space="preserve">reduce </w:t>
      </w:r>
      <w:r w:rsidR="00ED0BF8" w:rsidRPr="00C052CF">
        <w:t xml:space="preserve">hazards and risks </w:t>
      </w:r>
      <w:r w:rsidR="00B470C2" w:rsidRPr="00C052CF">
        <w:t xml:space="preserve">at the </w:t>
      </w:r>
      <w:r w:rsidR="00ED0BF8" w:rsidRPr="00C052CF">
        <w:t>workplace</w:t>
      </w:r>
      <w:r w:rsidR="00470914" w:rsidRPr="00C052CF">
        <w:t xml:space="preserve"> (Adekitan, 2020</w:t>
      </w:r>
      <w:proofErr w:type="gramStart"/>
      <w:r w:rsidR="00470914" w:rsidRPr="00C052CF">
        <w:t>)</w:t>
      </w:r>
      <w:r w:rsidR="00B470C2" w:rsidRPr="00C052CF">
        <w:t>;</w:t>
      </w:r>
      <w:proofErr w:type="gramEnd"/>
    </w:p>
    <w:p w14:paraId="1D2E74D1" w14:textId="46902C0B" w:rsidR="00002E13" w:rsidRPr="00C052CF" w:rsidRDefault="00002E13" w:rsidP="00002E13">
      <w:pPr>
        <w:pStyle w:val="CETListbullets"/>
        <w:numPr>
          <w:ilvl w:val="0"/>
          <w:numId w:val="13"/>
        </w:numPr>
      </w:pPr>
      <w:r w:rsidRPr="00C052CF">
        <w:rPr>
          <w:i/>
          <w:iCs/>
        </w:rPr>
        <w:t>Safety participation</w:t>
      </w:r>
      <w:r w:rsidR="00E93820" w:rsidRPr="00C052CF">
        <w:t xml:space="preserve"> </w:t>
      </w:r>
      <w:r w:rsidR="00B470C2" w:rsidRPr="00C052CF">
        <w:t xml:space="preserve">– it consists of </w:t>
      </w:r>
      <w:r w:rsidR="00F87C51" w:rsidRPr="00C052CF">
        <w:t>10 items</w:t>
      </w:r>
      <w:r w:rsidR="00426C09" w:rsidRPr="00C052CF">
        <w:t xml:space="preserve"> </w:t>
      </w:r>
      <w:r w:rsidR="00355E46" w:rsidRPr="00C052CF">
        <w:t>deal</w:t>
      </w:r>
      <w:r w:rsidR="00B470C2" w:rsidRPr="00C052CF">
        <w:t>ing</w:t>
      </w:r>
      <w:r w:rsidR="00355E46" w:rsidRPr="00C052CF">
        <w:t xml:space="preserve"> with </w:t>
      </w:r>
      <w:r w:rsidR="00817DCF" w:rsidRPr="00C052CF">
        <w:t>employees</w:t>
      </w:r>
      <w:r w:rsidR="00355E46" w:rsidRPr="00C052CF">
        <w:t xml:space="preserve"> actively engaging in </w:t>
      </w:r>
      <w:r w:rsidR="00B470C2" w:rsidRPr="00C052CF">
        <w:t xml:space="preserve">actions </w:t>
      </w:r>
      <w:r w:rsidR="00355E46" w:rsidRPr="00C052CF">
        <w:t>that enha</w:t>
      </w:r>
      <w:r w:rsidR="00817DCF" w:rsidRPr="00C052CF">
        <w:t xml:space="preserve">nce workplace safety </w:t>
      </w:r>
      <w:r w:rsidR="00470914" w:rsidRPr="00C052CF">
        <w:t>(Taube and Gardner,</w:t>
      </w:r>
      <w:r w:rsidR="00B470C2" w:rsidRPr="00C052CF">
        <w:t xml:space="preserve"> </w:t>
      </w:r>
      <w:r w:rsidR="00470914" w:rsidRPr="00C052CF">
        <w:t>2022</w:t>
      </w:r>
      <w:proofErr w:type="gramStart"/>
      <w:r w:rsidR="00470914" w:rsidRPr="00C052CF">
        <w:t>)</w:t>
      </w:r>
      <w:r w:rsidR="00B470C2" w:rsidRPr="00C052CF">
        <w:t>;</w:t>
      </w:r>
      <w:proofErr w:type="gramEnd"/>
    </w:p>
    <w:p w14:paraId="1A442FA0" w14:textId="1868D5D4" w:rsidR="00002E13" w:rsidRPr="00C052CF" w:rsidRDefault="00002E13" w:rsidP="00002E13">
      <w:pPr>
        <w:pStyle w:val="CETnumberingbullets"/>
      </w:pPr>
      <w:r w:rsidRPr="00C052CF">
        <w:rPr>
          <w:i/>
          <w:iCs/>
        </w:rPr>
        <w:t>Lean thinking</w:t>
      </w:r>
      <w:r w:rsidR="00B22EB4" w:rsidRPr="00C052CF">
        <w:t xml:space="preserve"> </w:t>
      </w:r>
      <w:r w:rsidR="00B470C2" w:rsidRPr="00C052CF">
        <w:t xml:space="preserve">– it consists of </w:t>
      </w:r>
      <w:r w:rsidR="00F955E0" w:rsidRPr="00C052CF">
        <w:t xml:space="preserve">18 items </w:t>
      </w:r>
      <w:r w:rsidR="00B470C2" w:rsidRPr="00C052CF">
        <w:t xml:space="preserve">focusing on the implementation </w:t>
      </w:r>
      <w:r w:rsidR="00817DCF" w:rsidRPr="00C052CF">
        <w:t xml:space="preserve">of </w:t>
      </w:r>
      <w:r w:rsidR="00B470C2" w:rsidRPr="00C052CF">
        <w:t xml:space="preserve">lean strategies and lean management </w:t>
      </w:r>
      <w:r w:rsidR="00AE4F1F" w:rsidRPr="00C052CF">
        <w:t xml:space="preserve">pillars </w:t>
      </w:r>
      <w:r w:rsidR="00470914" w:rsidRPr="00C052CF">
        <w:t>(Nolan-McSweeney et al., 2023</w:t>
      </w:r>
      <w:proofErr w:type="gramStart"/>
      <w:r w:rsidR="00E24AFE" w:rsidRPr="00C052CF">
        <w:t>)</w:t>
      </w:r>
      <w:r w:rsidR="00B470C2" w:rsidRPr="00C052CF">
        <w:t>;</w:t>
      </w:r>
      <w:proofErr w:type="gramEnd"/>
    </w:p>
    <w:p w14:paraId="44E3BB5B" w14:textId="28BACA89" w:rsidR="00002E13" w:rsidRPr="00C052CF" w:rsidRDefault="00002E13" w:rsidP="00002E13">
      <w:pPr>
        <w:pStyle w:val="CETListbullets"/>
        <w:numPr>
          <w:ilvl w:val="0"/>
          <w:numId w:val="13"/>
        </w:numPr>
      </w:pPr>
      <w:r w:rsidRPr="00C052CF">
        <w:rPr>
          <w:i/>
          <w:iCs/>
        </w:rPr>
        <w:t>Environmental sustainability</w:t>
      </w:r>
      <w:r w:rsidR="00B22EB4" w:rsidRPr="00C052CF">
        <w:t xml:space="preserve"> </w:t>
      </w:r>
      <w:r w:rsidR="00B470C2" w:rsidRPr="00C052CF">
        <w:t xml:space="preserve">– it </w:t>
      </w:r>
      <w:r w:rsidR="00305710" w:rsidRPr="00C052CF">
        <w:t xml:space="preserve">investigates </w:t>
      </w:r>
      <w:r w:rsidR="00E13A98" w:rsidRPr="00C052CF">
        <w:t xml:space="preserve">the </w:t>
      </w:r>
      <w:r w:rsidR="000E3030" w:rsidRPr="00C052CF">
        <w:t xml:space="preserve">presence </w:t>
      </w:r>
      <w:r w:rsidR="00E13A98" w:rsidRPr="00C052CF">
        <w:t xml:space="preserve">of corporate strategies </w:t>
      </w:r>
      <w:r w:rsidR="000E3030" w:rsidRPr="00C052CF">
        <w:t xml:space="preserve">intended to </w:t>
      </w:r>
      <w:r w:rsidR="00E13A98" w:rsidRPr="00C052CF">
        <w:t xml:space="preserve">reduce emissions and </w:t>
      </w:r>
      <w:r w:rsidR="000E3030" w:rsidRPr="00C052CF">
        <w:t xml:space="preserve">waste, and </w:t>
      </w:r>
      <w:r w:rsidR="00F955E0" w:rsidRPr="00C052CF">
        <w:t>includ</w:t>
      </w:r>
      <w:r w:rsidR="000E3030" w:rsidRPr="00C052CF">
        <w:t>es</w:t>
      </w:r>
      <w:r w:rsidR="00F955E0" w:rsidRPr="00C052CF">
        <w:t xml:space="preserve"> </w:t>
      </w:r>
      <w:r w:rsidR="00C322EF" w:rsidRPr="00C052CF">
        <w:t>8 items</w:t>
      </w:r>
      <w:r w:rsidR="00521447" w:rsidRPr="00C052CF">
        <w:t xml:space="preserve"> </w:t>
      </w:r>
      <w:r w:rsidR="00470914" w:rsidRPr="00C052CF">
        <w:t>(Dornfeld et al., 2021</w:t>
      </w:r>
      <w:proofErr w:type="gramStart"/>
      <w:r w:rsidR="00374278" w:rsidRPr="00C052CF">
        <w:t>)</w:t>
      </w:r>
      <w:r w:rsidR="000E3030" w:rsidRPr="00C052CF">
        <w:t>;</w:t>
      </w:r>
      <w:proofErr w:type="gramEnd"/>
    </w:p>
    <w:p w14:paraId="4FDC23A6" w14:textId="0DF3E664" w:rsidR="00470914" w:rsidRPr="00C052CF" w:rsidRDefault="00002E13" w:rsidP="00470914">
      <w:pPr>
        <w:pStyle w:val="CETnumberingbullets"/>
      </w:pPr>
      <w:r w:rsidRPr="00C052CF">
        <w:rPr>
          <w:i/>
          <w:iCs/>
        </w:rPr>
        <w:t>People excellence</w:t>
      </w:r>
      <w:r w:rsidR="00B22EB4" w:rsidRPr="00C052CF">
        <w:t xml:space="preserve"> </w:t>
      </w:r>
      <w:r w:rsidR="000E3030" w:rsidRPr="00C052CF">
        <w:t xml:space="preserve">- it consists of </w:t>
      </w:r>
      <w:r w:rsidR="00A926C1" w:rsidRPr="00C052CF">
        <w:t>18 items</w:t>
      </w:r>
      <w:r w:rsidR="005032BA" w:rsidRPr="00C052CF">
        <w:t xml:space="preserve"> </w:t>
      </w:r>
      <w:r w:rsidR="000C2687" w:rsidRPr="00C052CF">
        <w:t xml:space="preserve">related to </w:t>
      </w:r>
      <w:r w:rsidR="00A8691F" w:rsidRPr="00C052CF">
        <w:t xml:space="preserve">an organizational culture in which employees are empowered, engaged, and continuously encouraged to develop their full potential </w:t>
      </w:r>
      <w:r w:rsidR="00470914" w:rsidRPr="00C052CF">
        <w:t>(Zhu et al., 2023</w:t>
      </w:r>
      <w:r w:rsidR="00CE594D" w:rsidRPr="00C052CF">
        <w:rPr>
          <w:noProof/>
          <w:lang w:val="en-US"/>
        </w:rPr>
        <w:t>)</w:t>
      </w:r>
      <w:r w:rsidR="00985F14" w:rsidRPr="00C052CF">
        <w:rPr>
          <w:noProof/>
          <w:lang w:val="en-US"/>
        </w:rPr>
        <w:t>;</w:t>
      </w:r>
    </w:p>
    <w:p w14:paraId="04D8E7A4" w14:textId="499E7004" w:rsidR="004C3007" w:rsidRPr="00C052CF" w:rsidRDefault="00002E13" w:rsidP="00002E13">
      <w:pPr>
        <w:pStyle w:val="CETListbullets"/>
        <w:numPr>
          <w:ilvl w:val="0"/>
          <w:numId w:val="13"/>
        </w:numPr>
      </w:pPr>
      <w:r w:rsidRPr="00C052CF">
        <w:rPr>
          <w:i/>
          <w:iCs/>
        </w:rPr>
        <w:t>Ergonomics</w:t>
      </w:r>
      <w:r w:rsidR="00E93820" w:rsidRPr="00C052CF">
        <w:t xml:space="preserve"> </w:t>
      </w:r>
      <w:r w:rsidR="00985F14" w:rsidRPr="00C052CF">
        <w:t xml:space="preserve">– it </w:t>
      </w:r>
      <w:r w:rsidR="004C3007" w:rsidRPr="00C052CF">
        <w:t>include</w:t>
      </w:r>
      <w:r w:rsidR="00985F14" w:rsidRPr="00C052CF">
        <w:t>s</w:t>
      </w:r>
      <w:r w:rsidR="004C3007" w:rsidRPr="00C052CF">
        <w:t xml:space="preserve"> </w:t>
      </w:r>
      <w:r w:rsidR="00EA1151" w:rsidRPr="00C052CF">
        <w:t>18 items</w:t>
      </w:r>
      <w:r w:rsidR="00247F31" w:rsidRPr="00C052CF">
        <w:t xml:space="preserve"> relating to </w:t>
      </w:r>
      <w:r w:rsidR="006C2D1D" w:rsidRPr="00C052CF">
        <w:t xml:space="preserve">the </w:t>
      </w:r>
      <w:r w:rsidR="00AE1969" w:rsidRPr="00C052CF">
        <w:t>efficiency and comfort in the working environment</w:t>
      </w:r>
      <w:r w:rsidR="00470914" w:rsidRPr="00C052CF">
        <w:t xml:space="preserve"> (Nastasi et al., 2023</w:t>
      </w:r>
      <w:r w:rsidR="00367F1E" w:rsidRPr="00C052CF">
        <w:t>)</w:t>
      </w:r>
      <w:r w:rsidR="006C2D1D" w:rsidRPr="00C052CF">
        <w:t>.</w:t>
      </w:r>
    </w:p>
    <w:bookmarkEnd w:id="1"/>
    <w:p w14:paraId="09406386" w14:textId="0266B013" w:rsidR="00453E24" w:rsidRPr="00C052CF" w:rsidRDefault="0081233F" w:rsidP="00453E24">
      <w:pPr>
        <w:pStyle w:val="CETBodytext"/>
        <w:rPr>
          <w:lang w:val="en-GB"/>
        </w:rPr>
      </w:pPr>
      <w:r w:rsidRPr="00C052CF">
        <w:rPr>
          <w:lang w:val="en-GB"/>
        </w:rPr>
        <w:t xml:space="preserve">Likert scales, i.e. psychometric scales commonly involved in research that employs questionnaires (Boone &amp; Boone, 2012), were used to rate the responses provided. </w:t>
      </w:r>
      <w:r w:rsidR="000B5BED" w:rsidRPr="00C052CF">
        <w:rPr>
          <w:lang w:val="en-GB"/>
        </w:rPr>
        <w:t>All questions were close-ended, and specifically</w:t>
      </w:r>
      <w:r w:rsidRPr="00C052CF">
        <w:rPr>
          <w:lang w:val="en-GB"/>
        </w:rPr>
        <w:t xml:space="preserve">, </w:t>
      </w:r>
      <w:r w:rsidR="009854CD" w:rsidRPr="00C052CF">
        <w:rPr>
          <w:lang w:val="en-GB"/>
        </w:rPr>
        <w:t xml:space="preserve">the </w:t>
      </w:r>
      <w:r w:rsidRPr="00C052CF">
        <w:rPr>
          <w:lang w:val="en-GB"/>
        </w:rPr>
        <w:t xml:space="preserve">respondents were asked to </w:t>
      </w:r>
      <w:r w:rsidR="00BE1C6D" w:rsidRPr="00C052CF">
        <w:rPr>
          <w:lang w:val="en-GB"/>
        </w:rPr>
        <w:t>provide</w:t>
      </w:r>
      <w:r w:rsidRPr="00C052CF">
        <w:rPr>
          <w:lang w:val="en-GB"/>
        </w:rPr>
        <w:t xml:space="preserve"> the</w:t>
      </w:r>
      <w:r w:rsidR="00B96229" w:rsidRPr="00C052CF">
        <w:rPr>
          <w:lang w:val="en-GB"/>
        </w:rPr>
        <w:t>ir level of agreement to a set of statements</w:t>
      </w:r>
      <w:r w:rsidR="009854CD" w:rsidRPr="00C052CF">
        <w:rPr>
          <w:lang w:val="en-GB"/>
        </w:rPr>
        <w:t xml:space="preserve"> on a </w:t>
      </w:r>
      <w:r w:rsidR="009E1C32" w:rsidRPr="00C052CF">
        <w:rPr>
          <w:lang w:val="en-GB"/>
        </w:rPr>
        <w:t>5</w:t>
      </w:r>
      <w:r w:rsidRPr="00C052CF">
        <w:rPr>
          <w:lang w:val="en-GB"/>
        </w:rPr>
        <w:t xml:space="preserve">-point scale, </w:t>
      </w:r>
      <w:r w:rsidR="00BE1C6D" w:rsidRPr="00C052CF">
        <w:rPr>
          <w:lang w:val="en-GB"/>
        </w:rPr>
        <w:t xml:space="preserve">ranging from 1 (“fully disagree”) to </w:t>
      </w:r>
      <w:r w:rsidR="00F726AE" w:rsidRPr="00C052CF">
        <w:rPr>
          <w:lang w:val="en-GB"/>
        </w:rPr>
        <w:t>5</w:t>
      </w:r>
      <w:r w:rsidR="00BE1C6D" w:rsidRPr="00C052CF">
        <w:rPr>
          <w:lang w:val="en-GB"/>
        </w:rPr>
        <w:t xml:space="preserve"> (“fully agree”)</w:t>
      </w:r>
      <w:r w:rsidRPr="00C052CF">
        <w:rPr>
          <w:lang w:val="en-GB"/>
        </w:rPr>
        <w:t>.</w:t>
      </w:r>
      <w:r w:rsidR="005E6AD7" w:rsidRPr="00C052CF">
        <w:rPr>
          <w:lang w:val="en-GB"/>
        </w:rPr>
        <w:t xml:space="preserve"> </w:t>
      </w:r>
      <w:r w:rsidR="009854CD" w:rsidRPr="00C052CF">
        <w:rPr>
          <w:lang w:val="en-GB"/>
        </w:rPr>
        <w:t xml:space="preserve">Each of the 82 </w:t>
      </w:r>
      <w:r w:rsidR="000043B0" w:rsidRPr="00C052CF">
        <w:rPr>
          <w:lang w:val="en-GB"/>
        </w:rPr>
        <w:t xml:space="preserve">items </w:t>
      </w:r>
      <w:r w:rsidR="009854CD" w:rsidRPr="00C052CF">
        <w:rPr>
          <w:lang w:val="en-GB"/>
        </w:rPr>
        <w:t xml:space="preserve">of the </w:t>
      </w:r>
      <w:r w:rsidR="000043B0" w:rsidRPr="00C052CF">
        <w:rPr>
          <w:lang w:val="en-GB"/>
        </w:rPr>
        <w:t xml:space="preserve">questionnaire </w:t>
      </w:r>
      <w:r w:rsidR="00927BA8" w:rsidRPr="00C052CF">
        <w:rPr>
          <w:lang w:val="en-GB"/>
        </w:rPr>
        <w:t>was intentionally assigned to one of the six perspectives under investigation</w:t>
      </w:r>
      <w:r w:rsidR="009854CD" w:rsidRPr="00C052CF">
        <w:rPr>
          <w:lang w:val="en-GB"/>
        </w:rPr>
        <w:t xml:space="preserve">; related </w:t>
      </w:r>
      <w:r w:rsidR="00927BA8" w:rsidRPr="00C052CF">
        <w:rPr>
          <w:lang w:val="en-GB"/>
        </w:rPr>
        <w:t xml:space="preserve">validity </w:t>
      </w:r>
      <w:r w:rsidR="009854CD" w:rsidRPr="00C052CF">
        <w:rPr>
          <w:lang w:val="en-GB"/>
        </w:rPr>
        <w:t xml:space="preserve">of the content </w:t>
      </w:r>
      <w:r w:rsidR="00927BA8" w:rsidRPr="00C052CF">
        <w:rPr>
          <w:lang w:val="en-GB"/>
        </w:rPr>
        <w:t xml:space="preserve">was supported by a preliminary reliability analysis with Cronbach’s alpha, which </w:t>
      </w:r>
      <w:r w:rsidR="00927BA8" w:rsidRPr="00C052CF">
        <w:rPr>
          <w:rFonts w:cs="Arial"/>
          <w:lang w:val="en-GB"/>
        </w:rPr>
        <w:t xml:space="preserve">confirmed the internal consistency of all </w:t>
      </w:r>
      <w:r w:rsidR="00FD2A99" w:rsidRPr="00C052CF">
        <w:rPr>
          <w:rFonts w:cs="Arial"/>
          <w:lang w:val="en-GB"/>
        </w:rPr>
        <w:t>perspectives</w:t>
      </w:r>
      <w:r w:rsidR="00A2336C" w:rsidRPr="00C052CF">
        <w:rPr>
          <w:rFonts w:cs="Arial"/>
          <w:lang w:val="en-GB"/>
        </w:rPr>
        <w:t xml:space="preserve"> (</w:t>
      </w:r>
      <w:r w:rsidR="00A2336C" w:rsidRPr="00C052CF">
        <w:rPr>
          <w:rFonts w:cs="Arial"/>
          <w:lang w:val="en-GB"/>
        </w:rPr>
        <w:sym w:font="Symbol" w:char="F061"/>
      </w:r>
      <w:r w:rsidR="00A2336C" w:rsidRPr="00C052CF">
        <w:rPr>
          <w:rFonts w:cs="Arial"/>
          <w:lang w:val="en-GB"/>
        </w:rPr>
        <w:t xml:space="preserve"> values from </w:t>
      </w:r>
      <w:r w:rsidR="00DF1931" w:rsidRPr="00C052CF">
        <w:rPr>
          <w:rFonts w:cs="Arial"/>
          <w:lang w:val="en-GB"/>
        </w:rPr>
        <w:t xml:space="preserve">0.717 to </w:t>
      </w:r>
      <w:r w:rsidR="00DB352D" w:rsidRPr="00C052CF">
        <w:rPr>
          <w:rFonts w:cs="Arial"/>
          <w:lang w:val="en-GB"/>
        </w:rPr>
        <w:t>0.878)</w:t>
      </w:r>
      <w:r w:rsidR="004D3010" w:rsidRPr="00C052CF">
        <w:rPr>
          <w:rFonts w:cs="Arial"/>
          <w:lang w:val="en-GB"/>
        </w:rPr>
        <w:t>, as well as of the whole set o</w:t>
      </w:r>
      <w:r w:rsidR="00216038" w:rsidRPr="00C052CF">
        <w:rPr>
          <w:rFonts w:cs="Arial"/>
          <w:lang w:val="en-GB"/>
        </w:rPr>
        <w:t>f</w:t>
      </w:r>
      <w:r w:rsidR="004D3010" w:rsidRPr="00C052CF">
        <w:rPr>
          <w:rFonts w:cs="Arial"/>
          <w:lang w:val="en-GB"/>
        </w:rPr>
        <w:t xml:space="preserve"> responses</w:t>
      </w:r>
      <w:r w:rsidR="00216038" w:rsidRPr="00C052CF">
        <w:rPr>
          <w:rFonts w:cs="Arial"/>
          <w:lang w:val="en-GB"/>
        </w:rPr>
        <w:t xml:space="preserve"> (</w:t>
      </w:r>
      <w:r w:rsidR="00A2336C" w:rsidRPr="00C052CF">
        <w:rPr>
          <w:rFonts w:cs="Arial"/>
          <w:lang w:val="en-GB"/>
        </w:rPr>
        <w:sym w:font="Symbol" w:char="F061"/>
      </w:r>
      <w:r w:rsidR="00216038" w:rsidRPr="00C052CF">
        <w:rPr>
          <w:rFonts w:cs="Arial"/>
          <w:lang w:val="en-GB"/>
        </w:rPr>
        <w:t>=0.</w:t>
      </w:r>
      <w:r w:rsidR="00A2336C" w:rsidRPr="00C052CF">
        <w:rPr>
          <w:rFonts w:cs="Arial"/>
          <w:lang w:val="en-GB"/>
        </w:rPr>
        <w:t>945)</w:t>
      </w:r>
      <w:r w:rsidR="00927BA8" w:rsidRPr="00C052CF">
        <w:rPr>
          <w:rFonts w:cs="Arial"/>
          <w:lang w:val="en-GB"/>
        </w:rPr>
        <w:t>.</w:t>
      </w:r>
      <w:r w:rsidR="00927BA8" w:rsidRPr="00C052CF">
        <w:rPr>
          <w:lang w:val="en-GB"/>
        </w:rPr>
        <w:t xml:space="preserve"> </w:t>
      </w:r>
    </w:p>
    <w:p w14:paraId="56C6DD5C" w14:textId="33220231" w:rsidR="00353DD5" w:rsidRPr="00C052CF" w:rsidRDefault="00A55BA2" w:rsidP="00453E24">
      <w:pPr>
        <w:pStyle w:val="CETBodytext"/>
        <w:rPr>
          <w:lang w:val="en-GB"/>
        </w:rPr>
      </w:pPr>
      <w:r w:rsidRPr="00C052CF">
        <w:rPr>
          <w:lang w:val="en-GB"/>
        </w:rPr>
        <w:t xml:space="preserve">The analysis performed on the data collected </w:t>
      </w:r>
      <w:r w:rsidR="00156474" w:rsidRPr="00C052CF">
        <w:rPr>
          <w:lang w:val="en-GB"/>
        </w:rPr>
        <w:t xml:space="preserve">consists of </w:t>
      </w:r>
      <w:r w:rsidR="00191B93" w:rsidRPr="00C052CF">
        <w:rPr>
          <w:lang w:val="en-GB"/>
        </w:rPr>
        <w:t>three</w:t>
      </w:r>
      <w:r w:rsidRPr="00C052CF">
        <w:rPr>
          <w:lang w:val="en-GB"/>
        </w:rPr>
        <w:t xml:space="preserve"> main steps. First, descriptive statistics were </w:t>
      </w:r>
      <w:r w:rsidR="00927BA8" w:rsidRPr="00C052CF">
        <w:rPr>
          <w:lang w:val="en-GB"/>
        </w:rPr>
        <w:t>derived from (general) questions of</w:t>
      </w:r>
      <w:r w:rsidRPr="00C052CF">
        <w:rPr>
          <w:lang w:val="en-GB"/>
        </w:rPr>
        <w:t xml:space="preserve"> the </w:t>
      </w:r>
      <w:r w:rsidR="000C74B3" w:rsidRPr="00C052CF">
        <w:rPr>
          <w:lang w:val="en-GB"/>
        </w:rPr>
        <w:t>questionnaire and</w:t>
      </w:r>
      <w:r w:rsidR="00AB6FF0" w:rsidRPr="00C052CF">
        <w:rPr>
          <w:lang w:val="en-GB"/>
        </w:rPr>
        <w:t xml:space="preserve"> were used to provide a</w:t>
      </w:r>
      <w:r w:rsidR="00156474" w:rsidRPr="00C052CF">
        <w:rPr>
          <w:lang w:val="en-GB"/>
        </w:rPr>
        <w:t>n</w:t>
      </w:r>
      <w:r w:rsidR="00AB6FF0" w:rsidRPr="00C052CF">
        <w:rPr>
          <w:lang w:val="en-GB"/>
        </w:rPr>
        <w:t xml:space="preserve"> overview of </w:t>
      </w:r>
      <w:r w:rsidR="00041466" w:rsidRPr="00C052CF">
        <w:rPr>
          <w:lang w:val="en-GB"/>
        </w:rPr>
        <w:t>the sample of respondents</w:t>
      </w:r>
      <w:r w:rsidR="00AB6FF0" w:rsidRPr="00C052CF">
        <w:rPr>
          <w:lang w:val="en-GB"/>
        </w:rPr>
        <w:t>, in terms of age, nationality, gender and seniority</w:t>
      </w:r>
      <w:r w:rsidR="000372C7" w:rsidRPr="00C052CF">
        <w:rPr>
          <w:lang w:val="en-GB"/>
        </w:rPr>
        <w:t xml:space="preserve">; these analyses were made </w:t>
      </w:r>
      <w:r w:rsidR="00D357CC" w:rsidRPr="00C052CF">
        <w:rPr>
          <w:lang w:val="en-GB"/>
        </w:rPr>
        <w:t>using Microsoft Excel</w:t>
      </w:r>
      <w:r w:rsidR="00D357CC" w:rsidRPr="00C052CF">
        <w:rPr>
          <w:vertAlign w:val="superscript"/>
          <w:lang w:val="en-GB"/>
        </w:rPr>
        <w:t>TM</w:t>
      </w:r>
      <w:r w:rsidR="00F518E7" w:rsidRPr="00C052CF">
        <w:rPr>
          <w:lang w:val="en-GB"/>
        </w:rPr>
        <w:t xml:space="preserve"> and </w:t>
      </w:r>
      <w:r w:rsidR="00D357CC" w:rsidRPr="00C052CF">
        <w:rPr>
          <w:lang w:val="en-GB"/>
        </w:rPr>
        <w:t xml:space="preserve">outcomes are presented in Section 3.1. </w:t>
      </w:r>
      <w:r w:rsidRPr="00C052CF">
        <w:rPr>
          <w:lang w:val="en-GB"/>
        </w:rPr>
        <w:t>The second step was a correlation analysis</w:t>
      </w:r>
      <w:r w:rsidR="00F5709D" w:rsidRPr="00C052CF">
        <w:rPr>
          <w:lang w:val="en-GB"/>
        </w:rPr>
        <w:t xml:space="preserve"> among </w:t>
      </w:r>
      <w:r w:rsidR="000372C7" w:rsidRPr="00C052CF">
        <w:rPr>
          <w:lang w:val="en-GB"/>
        </w:rPr>
        <w:t>the six perspectives investigated in the questionnaire</w:t>
      </w:r>
      <w:r w:rsidR="00D77A87" w:rsidRPr="00C052CF">
        <w:rPr>
          <w:lang w:val="en-GB"/>
        </w:rPr>
        <w:t xml:space="preserve">, based on the computation of the Pearson’s correlation coefficient </w:t>
      </w:r>
      <w:r w:rsidR="00D440D8" w:rsidRPr="00C052CF">
        <w:rPr>
          <w:i/>
          <w:iCs/>
          <w:lang w:val="en-GB"/>
        </w:rPr>
        <w:t>r</w:t>
      </w:r>
      <w:r w:rsidR="00D440D8" w:rsidRPr="00C052CF">
        <w:rPr>
          <w:lang w:val="en-GB"/>
        </w:rPr>
        <w:t xml:space="preserve"> </w:t>
      </w:r>
      <w:r w:rsidR="00D77A87" w:rsidRPr="00C052CF">
        <w:rPr>
          <w:lang w:val="en-GB"/>
        </w:rPr>
        <w:t xml:space="preserve">as a measure </w:t>
      </w:r>
      <w:r w:rsidR="00FE3FB5" w:rsidRPr="00C052CF">
        <w:rPr>
          <w:lang w:val="en-GB"/>
        </w:rPr>
        <w:t>of</w:t>
      </w:r>
      <w:r w:rsidR="00D77A87" w:rsidRPr="00C052CF">
        <w:rPr>
          <w:lang w:val="en-GB"/>
        </w:rPr>
        <w:t xml:space="preserve"> the strength of a linear relationship between two variables. It is </w:t>
      </w:r>
      <w:r w:rsidR="00D440D8" w:rsidRPr="00C052CF">
        <w:rPr>
          <w:lang w:val="en-GB"/>
        </w:rPr>
        <w:t>commonly acknowledged that a correlation coefficient lower than 0.4 denotes low</w:t>
      </w:r>
      <w:r w:rsidR="00AD6FEE" w:rsidRPr="00C052CF">
        <w:rPr>
          <w:lang w:val="en-GB"/>
        </w:rPr>
        <w:t>/very low</w:t>
      </w:r>
      <w:r w:rsidR="00D440D8" w:rsidRPr="00C052CF">
        <w:rPr>
          <w:lang w:val="en-GB"/>
        </w:rPr>
        <w:t xml:space="preserve"> correlation </w:t>
      </w:r>
      <w:r w:rsidR="00BC1670" w:rsidRPr="00C052CF">
        <w:rPr>
          <w:lang w:val="en-GB"/>
        </w:rPr>
        <w:t xml:space="preserve">(weak relationship); values around 0.5 </w:t>
      </w:r>
      <w:r w:rsidR="00BC1670" w:rsidRPr="00C052CF">
        <w:rPr>
          <w:lang w:val="en-GB"/>
        </w:rPr>
        <w:lastRenderedPageBreak/>
        <w:t>suggest a good correlation, while values greater than 0.6 denote high</w:t>
      </w:r>
      <w:r w:rsidR="00AD6FEE" w:rsidRPr="00C052CF">
        <w:rPr>
          <w:lang w:val="en-GB"/>
        </w:rPr>
        <w:t>/</w:t>
      </w:r>
      <w:r w:rsidR="00BC1670" w:rsidRPr="00C052CF">
        <w:rPr>
          <w:lang w:val="en-GB"/>
        </w:rPr>
        <w:t>very high correlation (</w:t>
      </w:r>
      <w:r w:rsidR="00AD6FEE" w:rsidRPr="00C052CF">
        <w:rPr>
          <w:lang w:val="en-GB"/>
        </w:rPr>
        <w:t>strong</w:t>
      </w:r>
      <w:r w:rsidR="00BC1670" w:rsidRPr="00C052CF">
        <w:rPr>
          <w:lang w:val="en-GB"/>
        </w:rPr>
        <w:t xml:space="preserve"> relationship). </w:t>
      </w:r>
      <w:r w:rsidR="00820668" w:rsidRPr="00C052CF">
        <w:rPr>
          <w:lang w:val="en-GB"/>
        </w:rPr>
        <w:t xml:space="preserve">Correlation </w:t>
      </w:r>
      <w:r w:rsidR="00737CE1" w:rsidRPr="00C052CF">
        <w:rPr>
          <w:lang w:val="en-GB"/>
        </w:rPr>
        <w:t xml:space="preserve">analysis </w:t>
      </w:r>
      <w:r w:rsidR="00F5709D" w:rsidRPr="00C052CF">
        <w:rPr>
          <w:lang w:val="en-GB"/>
        </w:rPr>
        <w:t>was supported by Statistical Package for the Social Science (SPSS) release 29 for Windows</w:t>
      </w:r>
      <w:r w:rsidR="00820668" w:rsidRPr="00C052CF">
        <w:rPr>
          <w:lang w:val="en-GB"/>
        </w:rPr>
        <w:t xml:space="preserve">; </w:t>
      </w:r>
      <w:r w:rsidR="00396A87" w:rsidRPr="00C052CF">
        <w:rPr>
          <w:lang w:val="en-GB"/>
        </w:rPr>
        <w:t xml:space="preserve">for the sake of completeness, </w:t>
      </w:r>
      <w:r w:rsidR="00AD6FEE" w:rsidRPr="00C052CF">
        <w:rPr>
          <w:lang w:val="en-GB"/>
        </w:rPr>
        <w:t xml:space="preserve">the full set correlations is presented, </w:t>
      </w:r>
      <w:r w:rsidR="00396A87" w:rsidRPr="00C052CF">
        <w:rPr>
          <w:lang w:val="en-GB"/>
        </w:rPr>
        <w:t xml:space="preserve">while </w:t>
      </w:r>
      <w:r w:rsidR="00135BEF" w:rsidRPr="00C052CF">
        <w:rPr>
          <w:lang w:val="en-GB"/>
        </w:rPr>
        <w:t xml:space="preserve">for the sake of brevity, detailed interpretation is offered for the results of </w:t>
      </w:r>
      <w:r w:rsidR="00772D92" w:rsidRPr="00C052CF">
        <w:rPr>
          <w:lang w:val="en-GB"/>
        </w:rPr>
        <w:t>high</w:t>
      </w:r>
      <w:r w:rsidR="00135BEF" w:rsidRPr="00C052CF">
        <w:rPr>
          <w:lang w:val="en-GB"/>
        </w:rPr>
        <w:t>/</w:t>
      </w:r>
      <w:r w:rsidR="00772D92" w:rsidRPr="00C052CF">
        <w:rPr>
          <w:lang w:val="en-GB"/>
        </w:rPr>
        <w:t xml:space="preserve">very high </w:t>
      </w:r>
      <w:r w:rsidR="001A0EAB" w:rsidRPr="00C052CF">
        <w:rPr>
          <w:lang w:val="en-GB"/>
        </w:rPr>
        <w:t xml:space="preserve">correlations </w:t>
      </w:r>
      <w:r w:rsidR="00772D92" w:rsidRPr="00C052CF">
        <w:rPr>
          <w:lang w:val="en-GB"/>
        </w:rPr>
        <w:t>only</w:t>
      </w:r>
      <w:r w:rsidR="00135BEF" w:rsidRPr="00C052CF">
        <w:rPr>
          <w:lang w:val="en-GB"/>
        </w:rPr>
        <w:t>, while avoiding comments on the remaining relationships.</w:t>
      </w:r>
      <w:r w:rsidR="00713C5E" w:rsidRPr="00C052CF">
        <w:rPr>
          <w:lang w:val="en-GB"/>
        </w:rPr>
        <w:t xml:space="preserve"> Relating outcomes are detailed in Section </w:t>
      </w:r>
      <w:r w:rsidR="00B8549B" w:rsidRPr="00C052CF">
        <w:rPr>
          <w:lang w:val="en-GB"/>
        </w:rPr>
        <w:t>3.2.</w:t>
      </w:r>
      <w:r w:rsidR="00135BEF" w:rsidRPr="00C052CF">
        <w:rPr>
          <w:lang w:val="en-GB"/>
        </w:rPr>
        <w:t xml:space="preserve"> </w:t>
      </w:r>
      <w:r w:rsidR="00353DD5" w:rsidRPr="00C052CF">
        <w:rPr>
          <w:lang w:val="en-GB"/>
        </w:rPr>
        <w:t xml:space="preserve">As a final step, a </w:t>
      </w:r>
      <w:r w:rsidR="00807152" w:rsidRPr="00C052CF">
        <w:rPr>
          <w:lang w:val="en-GB"/>
        </w:rPr>
        <w:t xml:space="preserve">structural equation </w:t>
      </w:r>
      <w:r w:rsidR="00F0563C" w:rsidRPr="00C052CF">
        <w:rPr>
          <w:lang w:val="en-GB"/>
        </w:rPr>
        <w:t>modelling</w:t>
      </w:r>
      <w:r w:rsidR="00807152" w:rsidRPr="00C052CF">
        <w:rPr>
          <w:lang w:val="en-GB"/>
        </w:rPr>
        <w:t xml:space="preserve"> (SEM)</w:t>
      </w:r>
      <w:r w:rsidR="00F0563C" w:rsidRPr="00C052CF">
        <w:rPr>
          <w:lang w:val="en-GB"/>
        </w:rPr>
        <w:t xml:space="preserve"> analysis</w:t>
      </w:r>
      <w:r w:rsidR="00807152" w:rsidRPr="00C052CF">
        <w:rPr>
          <w:lang w:val="en-GB"/>
        </w:rPr>
        <w:t xml:space="preserve"> was conducted following standard procedures (Kline, 2016), </w:t>
      </w:r>
      <w:r w:rsidR="00CD4F9E" w:rsidRPr="00C052CF">
        <w:rPr>
          <w:lang w:val="en-GB"/>
        </w:rPr>
        <w:t>taking</w:t>
      </w:r>
      <w:r w:rsidR="00807152" w:rsidRPr="00C052CF">
        <w:rPr>
          <w:lang w:val="en-GB"/>
        </w:rPr>
        <w:t xml:space="preserve"> </w:t>
      </w:r>
      <w:r w:rsidR="00BA3F2D" w:rsidRPr="00C052CF">
        <w:rPr>
          <w:lang w:val="en-GB"/>
        </w:rPr>
        <w:t>the safety-related dimensions (</w:t>
      </w:r>
      <w:r w:rsidR="00BA3F2D" w:rsidRPr="00C052CF">
        <w:rPr>
          <w:i/>
          <w:iCs/>
        </w:rPr>
        <w:t>Safety participation</w:t>
      </w:r>
      <w:r w:rsidR="00BA3F2D" w:rsidRPr="00C052CF">
        <w:t xml:space="preserve"> and </w:t>
      </w:r>
      <w:r w:rsidR="00BA3F2D" w:rsidRPr="00C052CF">
        <w:rPr>
          <w:i/>
          <w:iCs/>
        </w:rPr>
        <w:t>Safety compliance</w:t>
      </w:r>
      <w:r w:rsidR="00BA3F2D" w:rsidRPr="00C052CF">
        <w:t>) as</w:t>
      </w:r>
      <w:r w:rsidR="00B7754B" w:rsidRPr="00C052CF">
        <w:t xml:space="preserve"> </w:t>
      </w:r>
      <w:r w:rsidR="00F0563C" w:rsidRPr="00C052CF">
        <w:t xml:space="preserve">endogenous variables </w:t>
      </w:r>
      <w:r w:rsidR="00E64463" w:rsidRPr="00C052CF">
        <w:rPr>
          <w:lang w:val="en-GB"/>
        </w:rPr>
        <w:t>conceptualized as outcomes influenced by the remaining organizational perspectives</w:t>
      </w:r>
      <w:r w:rsidR="00F0563C" w:rsidRPr="00C052CF">
        <w:t xml:space="preserve">. </w:t>
      </w:r>
      <w:r w:rsidR="00E64463" w:rsidRPr="00C052CF">
        <w:t xml:space="preserve">Jamovi </w:t>
      </w:r>
      <w:r w:rsidR="004320AB" w:rsidRPr="00C052CF">
        <w:t>software package (</w:t>
      </w:r>
      <w:r w:rsidR="00135BEF" w:rsidRPr="00C052CF">
        <w:rPr>
          <w:lang w:val="en-GB"/>
        </w:rPr>
        <w:t>https://www.jamovi.org</w:t>
      </w:r>
      <w:r w:rsidR="004320AB" w:rsidRPr="00C052CF">
        <w:rPr>
          <w:lang w:val="en-GB"/>
        </w:rPr>
        <w:t xml:space="preserve">) was used to develop the SEM analysis and derive the model </w:t>
      </w:r>
      <w:r w:rsidR="00135BEF" w:rsidRPr="00C052CF">
        <w:rPr>
          <w:lang w:val="en-GB"/>
        </w:rPr>
        <w:t>fit indexes;</w:t>
      </w:r>
      <w:r w:rsidR="00B8742D" w:rsidRPr="00C052CF">
        <w:rPr>
          <w:lang w:val="en-GB"/>
        </w:rPr>
        <w:t xml:space="preserve"> outcomes are detailed in Section 3.3.</w:t>
      </w:r>
    </w:p>
    <w:p w14:paraId="6683CFD9" w14:textId="77777777" w:rsidR="00A55BA2" w:rsidRPr="00C052CF" w:rsidRDefault="00A55BA2" w:rsidP="00303359">
      <w:pPr>
        <w:pStyle w:val="CETHeading1"/>
        <w:tabs>
          <w:tab w:val="right" w:pos="7100"/>
        </w:tabs>
        <w:jc w:val="both"/>
        <w:rPr>
          <w:lang w:val="en-GB"/>
        </w:rPr>
      </w:pPr>
      <w:r w:rsidRPr="00C052CF">
        <w:rPr>
          <w:lang w:val="en-GB"/>
        </w:rPr>
        <w:t>Results and discussion</w:t>
      </w:r>
    </w:p>
    <w:p w14:paraId="6B674F6D" w14:textId="54AFD81D" w:rsidR="00A55BA2" w:rsidRPr="00C052CF" w:rsidRDefault="00981BF6" w:rsidP="00981BF6">
      <w:pPr>
        <w:pStyle w:val="CETheadingx"/>
        <w:rPr>
          <w:lang w:val="en-GB"/>
        </w:rPr>
      </w:pPr>
      <w:r w:rsidRPr="00C052CF">
        <w:rPr>
          <w:lang w:val="en-GB"/>
        </w:rPr>
        <w:t xml:space="preserve">3.1 </w:t>
      </w:r>
      <w:r w:rsidR="00A55BA2" w:rsidRPr="00C052CF">
        <w:rPr>
          <w:lang w:val="en-GB"/>
        </w:rPr>
        <w:t>Descriptive statistics</w:t>
      </w:r>
    </w:p>
    <w:p w14:paraId="44DF7A8A" w14:textId="71521403" w:rsidR="002B2A14" w:rsidRPr="00C052CF" w:rsidRDefault="002842B6" w:rsidP="00502C31">
      <w:pPr>
        <w:pStyle w:val="CETBodytext"/>
        <w:rPr>
          <w:lang w:val="en-GB"/>
        </w:rPr>
      </w:pPr>
      <w:r w:rsidRPr="00C052CF">
        <w:rPr>
          <w:lang w:val="en-GB"/>
        </w:rPr>
        <w:t>T</w:t>
      </w:r>
      <w:r w:rsidR="005443E5" w:rsidRPr="00C052CF">
        <w:rPr>
          <w:lang w:val="en-GB"/>
        </w:rPr>
        <w:t xml:space="preserve">he results of </w:t>
      </w:r>
      <w:r w:rsidR="00C61822" w:rsidRPr="00C052CF">
        <w:rPr>
          <w:lang w:val="en-GB"/>
        </w:rPr>
        <w:t xml:space="preserve">a set of descriptive statistics, made on the </w:t>
      </w:r>
      <w:r w:rsidR="005443E5" w:rsidRPr="00C052CF">
        <w:rPr>
          <w:lang w:val="en-GB"/>
        </w:rPr>
        <w:t xml:space="preserve">demographic </w:t>
      </w:r>
      <w:r w:rsidR="00C61822" w:rsidRPr="00C052CF">
        <w:rPr>
          <w:lang w:val="en-GB"/>
        </w:rPr>
        <w:t xml:space="preserve">characteristics of the respondents, are </w:t>
      </w:r>
      <w:r w:rsidRPr="00C052CF">
        <w:rPr>
          <w:lang w:val="en-GB"/>
        </w:rPr>
        <w:t>shown in Table 1</w:t>
      </w:r>
      <w:r w:rsidR="00C61822" w:rsidRPr="00C052CF">
        <w:rPr>
          <w:lang w:val="en-GB"/>
        </w:rPr>
        <w:t>.</w:t>
      </w:r>
      <w:r w:rsidR="00135BEF" w:rsidRPr="00C052CF">
        <w:rPr>
          <w:lang w:val="en-GB"/>
        </w:rPr>
        <w:t xml:space="preserve"> As far as the age, 9.78% </w:t>
      </w:r>
      <w:r w:rsidR="00453F4A" w:rsidRPr="00C052CF">
        <w:rPr>
          <w:lang w:val="en-GB"/>
        </w:rPr>
        <w:t xml:space="preserve">of respondents </w:t>
      </w:r>
      <w:r w:rsidR="00135BEF" w:rsidRPr="00C052CF">
        <w:rPr>
          <w:lang w:val="en-GB"/>
        </w:rPr>
        <w:t>(44) are aged between 18 and 25, more than half (52.22%) are aged between 25 and 40, and 38% (171) say they are over 40. Looking at the nationality, 72.67% (327) of the respondents are Italian, while the remaining 27.33% are non-Italian. Out of 450 respondents, 416 were males (92.44%) and only 34 (7.56%) were female. Finally, with regard to the respondents' seniority, 65.56% (295 workers) have between 5 and 20 years of work experience within the company in which they currently work, while 30.89% (139) have less than 5 years of experience; a small quota of 3.56% (16 workers) say they have been working in the company for more than 20 years.</w:t>
      </w:r>
    </w:p>
    <w:p w14:paraId="4DB3CA90" w14:textId="5874044B" w:rsidR="00981BF6" w:rsidRPr="00C052CF" w:rsidRDefault="00981BF6" w:rsidP="00A743FC">
      <w:pPr>
        <w:pStyle w:val="CETTabletitle"/>
      </w:pPr>
      <w:r w:rsidRPr="00C052CF">
        <w:t xml:space="preserve">Table 1: Results of </w:t>
      </w:r>
      <w:r w:rsidR="00135BEF" w:rsidRPr="00C052CF">
        <w:t xml:space="preserve">the </w:t>
      </w:r>
      <w:r w:rsidRPr="00C052CF">
        <w:t>descriptive statistics</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929"/>
        <w:gridCol w:w="30"/>
        <w:gridCol w:w="2900"/>
        <w:gridCol w:w="14"/>
        <w:gridCol w:w="2914"/>
      </w:tblGrid>
      <w:tr w:rsidR="000B5EF5" w:rsidRPr="00C052CF" w14:paraId="7AF70D22" w14:textId="77777777" w:rsidTr="000B5EF5">
        <w:tc>
          <w:tcPr>
            <w:tcW w:w="1667" w:type="pct"/>
            <w:tcBorders>
              <w:top w:val="single" w:sz="12" w:space="0" w:color="008000"/>
              <w:bottom w:val="single" w:sz="6" w:space="0" w:color="008000"/>
            </w:tcBorders>
            <w:shd w:val="clear" w:color="auto" w:fill="FFFFFF"/>
          </w:tcPr>
          <w:p w14:paraId="1BB0804C" w14:textId="77777777" w:rsidR="000B5EF5" w:rsidRPr="00C052CF" w:rsidRDefault="000B5EF5" w:rsidP="000B5EF5">
            <w:pPr>
              <w:pStyle w:val="CETBodytext"/>
              <w:jc w:val="left"/>
              <w:rPr>
                <w:b/>
                <w:bCs/>
                <w:lang w:val="en-GB"/>
              </w:rPr>
            </w:pPr>
            <w:r w:rsidRPr="00C052CF">
              <w:rPr>
                <w:b/>
                <w:bCs/>
                <w:lang w:val="en-GB"/>
              </w:rPr>
              <w:t>AGE [years]</w:t>
            </w:r>
          </w:p>
        </w:tc>
        <w:tc>
          <w:tcPr>
            <w:tcW w:w="1667" w:type="pct"/>
            <w:gridSpan w:val="2"/>
            <w:tcBorders>
              <w:top w:val="single" w:sz="12" w:space="0" w:color="008000"/>
              <w:bottom w:val="single" w:sz="6" w:space="0" w:color="008000"/>
            </w:tcBorders>
            <w:shd w:val="clear" w:color="auto" w:fill="FFFFFF"/>
          </w:tcPr>
          <w:p w14:paraId="5D36AED6" w14:textId="15DE2FAC" w:rsidR="000B5EF5" w:rsidRPr="00C052CF" w:rsidRDefault="000B5EF5" w:rsidP="009B44A1">
            <w:pPr>
              <w:pStyle w:val="CETBodytext"/>
              <w:jc w:val="center"/>
              <w:rPr>
                <w:lang w:val="en-GB"/>
              </w:rPr>
            </w:pPr>
            <w:r w:rsidRPr="00C052CF">
              <w:rPr>
                <w:lang w:val="en-GB"/>
              </w:rPr>
              <w:t>#</w:t>
            </w:r>
          </w:p>
        </w:tc>
        <w:tc>
          <w:tcPr>
            <w:tcW w:w="1666" w:type="pct"/>
            <w:gridSpan w:val="2"/>
            <w:tcBorders>
              <w:top w:val="single" w:sz="12" w:space="0" w:color="008000"/>
              <w:bottom w:val="single" w:sz="6" w:space="0" w:color="008000"/>
            </w:tcBorders>
            <w:shd w:val="clear" w:color="auto" w:fill="FFFFFF"/>
          </w:tcPr>
          <w:p w14:paraId="667A9578" w14:textId="639A31A1" w:rsidR="000B5EF5" w:rsidRPr="00C052CF" w:rsidRDefault="000B5EF5" w:rsidP="009B44A1">
            <w:pPr>
              <w:pStyle w:val="CETBodytext"/>
              <w:jc w:val="center"/>
              <w:rPr>
                <w:lang w:val="en-GB"/>
              </w:rPr>
            </w:pPr>
            <w:r w:rsidRPr="00C052CF">
              <w:rPr>
                <w:lang w:val="en-GB"/>
              </w:rPr>
              <w:t>%</w:t>
            </w:r>
          </w:p>
        </w:tc>
      </w:tr>
      <w:tr w:rsidR="009B44A1" w:rsidRPr="00C052CF" w14:paraId="24010C44" w14:textId="77777777" w:rsidTr="009B44A1">
        <w:tc>
          <w:tcPr>
            <w:tcW w:w="1684" w:type="pct"/>
            <w:gridSpan w:val="2"/>
            <w:tcBorders>
              <w:top w:val="single" w:sz="4" w:space="0" w:color="9BBB59"/>
            </w:tcBorders>
            <w:shd w:val="clear" w:color="auto" w:fill="FFFFFF"/>
          </w:tcPr>
          <w:p w14:paraId="72BFC5A3" w14:textId="2284520F" w:rsidR="009B44A1" w:rsidRPr="00C052CF" w:rsidRDefault="000B5EF5" w:rsidP="003F7F93">
            <w:pPr>
              <w:pStyle w:val="CETBodytext"/>
              <w:rPr>
                <w:lang w:val="en-GB"/>
              </w:rPr>
            </w:pPr>
            <w:r w:rsidRPr="00C052CF">
              <w:rPr>
                <w:lang w:val="en-GB"/>
              </w:rPr>
              <w:t>18-25</w:t>
            </w:r>
          </w:p>
        </w:tc>
        <w:tc>
          <w:tcPr>
            <w:tcW w:w="1658" w:type="pct"/>
            <w:gridSpan w:val="2"/>
            <w:tcBorders>
              <w:top w:val="single" w:sz="4" w:space="0" w:color="9BBB59"/>
            </w:tcBorders>
            <w:shd w:val="clear" w:color="auto" w:fill="FFFFFF"/>
          </w:tcPr>
          <w:p w14:paraId="420DFAD2" w14:textId="06986D9B" w:rsidR="009B44A1" w:rsidRPr="00C052CF" w:rsidRDefault="000B5EF5" w:rsidP="000B5EF5">
            <w:pPr>
              <w:pStyle w:val="CETBodytext"/>
              <w:jc w:val="center"/>
              <w:rPr>
                <w:lang w:val="en-GB"/>
              </w:rPr>
            </w:pPr>
            <w:r w:rsidRPr="00C052CF">
              <w:rPr>
                <w:lang w:val="en-GB"/>
              </w:rPr>
              <w:t>44</w:t>
            </w:r>
          </w:p>
        </w:tc>
        <w:tc>
          <w:tcPr>
            <w:tcW w:w="1658" w:type="pct"/>
            <w:tcBorders>
              <w:top w:val="single" w:sz="4" w:space="0" w:color="auto"/>
            </w:tcBorders>
            <w:shd w:val="clear" w:color="auto" w:fill="FFFFFF"/>
          </w:tcPr>
          <w:p w14:paraId="2D5C26D4" w14:textId="6D06D4D9" w:rsidR="009B44A1" w:rsidRPr="00C052CF" w:rsidRDefault="000B5EF5" w:rsidP="000B5EF5">
            <w:pPr>
              <w:pStyle w:val="CETBodytext"/>
              <w:jc w:val="center"/>
              <w:rPr>
                <w:lang w:val="en-GB"/>
              </w:rPr>
            </w:pPr>
            <w:r w:rsidRPr="00C052CF">
              <w:rPr>
                <w:lang w:val="en-GB"/>
              </w:rPr>
              <w:t>9.</w:t>
            </w:r>
            <w:r w:rsidR="00C926C9" w:rsidRPr="00C052CF">
              <w:rPr>
                <w:lang w:val="en-GB"/>
              </w:rPr>
              <w:t>8</w:t>
            </w:r>
          </w:p>
        </w:tc>
      </w:tr>
      <w:tr w:rsidR="009B44A1" w:rsidRPr="00C052CF" w14:paraId="43DF3156" w14:textId="77777777" w:rsidTr="000B5EF5">
        <w:tc>
          <w:tcPr>
            <w:tcW w:w="1684" w:type="pct"/>
            <w:gridSpan w:val="2"/>
            <w:tcBorders>
              <w:bottom w:val="nil"/>
            </w:tcBorders>
            <w:shd w:val="clear" w:color="auto" w:fill="FFFFFF"/>
          </w:tcPr>
          <w:p w14:paraId="574044E6" w14:textId="19CDD33E" w:rsidR="009B44A1" w:rsidRPr="00C052CF" w:rsidRDefault="000B5EF5" w:rsidP="003F7F93">
            <w:pPr>
              <w:pStyle w:val="CETBodytext"/>
              <w:rPr>
                <w:lang w:val="en-GB"/>
              </w:rPr>
            </w:pPr>
            <w:r w:rsidRPr="00C052CF">
              <w:rPr>
                <w:lang w:val="en-GB"/>
              </w:rPr>
              <w:t>25-40</w:t>
            </w:r>
          </w:p>
        </w:tc>
        <w:tc>
          <w:tcPr>
            <w:tcW w:w="1658" w:type="pct"/>
            <w:gridSpan w:val="2"/>
            <w:tcBorders>
              <w:bottom w:val="nil"/>
            </w:tcBorders>
            <w:shd w:val="clear" w:color="auto" w:fill="FFFFFF"/>
          </w:tcPr>
          <w:p w14:paraId="57A00E3C" w14:textId="55780105" w:rsidR="009B44A1" w:rsidRPr="00C052CF" w:rsidRDefault="000B5EF5" w:rsidP="000B5EF5">
            <w:pPr>
              <w:pStyle w:val="CETBodytext"/>
              <w:jc w:val="center"/>
              <w:rPr>
                <w:lang w:val="en-GB"/>
              </w:rPr>
            </w:pPr>
            <w:r w:rsidRPr="00C052CF">
              <w:rPr>
                <w:lang w:val="en-GB"/>
              </w:rPr>
              <w:t>235</w:t>
            </w:r>
          </w:p>
        </w:tc>
        <w:tc>
          <w:tcPr>
            <w:tcW w:w="1658" w:type="pct"/>
            <w:tcBorders>
              <w:bottom w:val="nil"/>
            </w:tcBorders>
            <w:shd w:val="clear" w:color="auto" w:fill="FFFFFF"/>
          </w:tcPr>
          <w:p w14:paraId="324EF61B" w14:textId="3A2078DA" w:rsidR="009B44A1" w:rsidRPr="00C052CF" w:rsidRDefault="000B5EF5" w:rsidP="000B5EF5">
            <w:pPr>
              <w:pStyle w:val="CETBodytext"/>
              <w:jc w:val="center"/>
              <w:rPr>
                <w:lang w:val="en-GB"/>
              </w:rPr>
            </w:pPr>
            <w:r w:rsidRPr="00C052CF">
              <w:rPr>
                <w:lang w:val="en-GB"/>
              </w:rPr>
              <w:t>52.2</w:t>
            </w:r>
          </w:p>
        </w:tc>
      </w:tr>
      <w:tr w:rsidR="009B44A1" w:rsidRPr="00C052CF" w14:paraId="193DA2E5" w14:textId="77777777" w:rsidTr="000B5EF5">
        <w:tc>
          <w:tcPr>
            <w:tcW w:w="1684" w:type="pct"/>
            <w:gridSpan w:val="2"/>
            <w:tcBorders>
              <w:top w:val="nil"/>
              <w:bottom w:val="single" w:sz="4" w:space="0" w:color="auto"/>
            </w:tcBorders>
            <w:shd w:val="clear" w:color="auto" w:fill="FFFFFF"/>
          </w:tcPr>
          <w:p w14:paraId="64747E9E" w14:textId="51D9FB8B" w:rsidR="009B44A1" w:rsidRPr="00C052CF" w:rsidRDefault="000B5EF5" w:rsidP="003F7F93">
            <w:pPr>
              <w:pStyle w:val="CETBodytext"/>
              <w:rPr>
                <w:lang w:val="en-GB"/>
              </w:rPr>
            </w:pPr>
            <w:r w:rsidRPr="00C052CF">
              <w:rPr>
                <w:lang w:val="en-GB"/>
              </w:rPr>
              <w:t>&gt;40</w:t>
            </w:r>
          </w:p>
        </w:tc>
        <w:tc>
          <w:tcPr>
            <w:tcW w:w="1658" w:type="pct"/>
            <w:gridSpan w:val="2"/>
            <w:tcBorders>
              <w:top w:val="nil"/>
              <w:bottom w:val="single" w:sz="4" w:space="0" w:color="auto"/>
            </w:tcBorders>
            <w:shd w:val="clear" w:color="auto" w:fill="FFFFFF"/>
          </w:tcPr>
          <w:p w14:paraId="642A4D16" w14:textId="66AD4A61" w:rsidR="009B44A1" w:rsidRPr="00C052CF" w:rsidRDefault="000B5EF5" w:rsidP="000B5EF5">
            <w:pPr>
              <w:pStyle w:val="CETBodytext"/>
              <w:jc w:val="center"/>
              <w:rPr>
                <w:lang w:val="en-GB"/>
              </w:rPr>
            </w:pPr>
            <w:r w:rsidRPr="00C052CF">
              <w:rPr>
                <w:lang w:val="en-GB"/>
              </w:rPr>
              <w:t>171</w:t>
            </w:r>
          </w:p>
        </w:tc>
        <w:tc>
          <w:tcPr>
            <w:tcW w:w="1658" w:type="pct"/>
            <w:tcBorders>
              <w:top w:val="nil"/>
              <w:bottom w:val="single" w:sz="4" w:space="0" w:color="auto"/>
            </w:tcBorders>
            <w:shd w:val="clear" w:color="auto" w:fill="FFFFFF"/>
          </w:tcPr>
          <w:p w14:paraId="45DC2F17" w14:textId="0AC90BF4" w:rsidR="009B44A1" w:rsidRPr="00C052CF" w:rsidRDefault="000B5EF5" w:rsidP="000B5EF5">
            <w:pPr>
              <w:pStyle w:val="CETBodytext"/>
              <w:jc w:val="center"/>
              <w:rPr>
                <w:lang w:val="en-GB"/>
              </w:rPr>
            </w:pPr>
            <w:r w:rsidRPr="00C052CF">
              <w:rPr>
                <w:lang w:val="en-GB"/>
              </w:rPr>
              <w:t>38.0</w:t>
            </w:r>
          </w:p>
        </w:tc>
      </w:tr>
      <w:tr w:rsidR="000B5EF5" w:rsidRPr="00C052CF" w14:paraId="4803FDA8" w14:textId="77777777" w:rsidTr="000B5EF5">
        <w:tc>
          <w:tcPr>
            <w:tcW w:w="1667" w:type="pct"/>
            <w:tcBorders>
              <w:top w:val="single" w:sz="4" w:space="0" w:color="auto"/>
            </w:tcBorders>
            <w:shd w:val="clear" w:color="auto" w:fill="FFFFFF"/>
          </w:tcPr>
          <w:p w14:paraId="52A89B36" w14:textId="77777777" w:rsidR="000B5EF5" w:rsidRPr="00C052CF" w:rsidRDefault="000B5EF5" w:rsidP="000B5EF5">
            <w:pPr>
              <w:pStyle w:val="CETBodytext"/>
              <w:jc w:val="left"/>
              <w:rPr>
                <w:b/>
                <w:bCs/>
                <w:lang w:val="en-GB"/>
              </w:rPr>
            </w:pPr>
            <w:r w:rsidRPr="00C052CF">
              <w:rPr>
                <w:b/>
                <w:bCs/>
                <w:lang w:val="en-GB"/>
              </w:rPr>
              <w:t>NATIONALITY</w:t>
            </w:r>
          </w:p>
        </w:tc>
        <w:tc>
          <w:tcPr>
            <w:tcW w:w="1667" w:type="pct"/>
            <w:gridSpan w:val="2"/>
            <w:tcBorders>
              <w:top w:val="single" w:sz="4" w:space="0" w:color="auto"/>
            </w:tcBorders>
            <w:shd w:val="clear" w:color="auto" w:fill="FFFFFF"/>
          </w:tcPr>
          <w:p w14:paraId="29573645" w14:textId="11C9ABC4" w:rsidR="000B5EF5" w:rsidRPr="00C052CF" w:rsidRDefault="000B5EF5" w:rsidP="000B5EF5">
            <w:pPr>
              <w:pStyle w:val="CETBodytext"/>
              <w:jc w:val="center"/>
              <w:rPr>
                <w:lang w:val="en-GB"/>
              </w:rPr>
            </w:pPr>
            <w:r w:rsidRPr="00C052CF">
              <w:rPr>
                <w:lang w:val="en-GB"/>
              </w:rPr>
              <w:t>#</w:t>
            </w:r>
          </w:p>
        </w:tc>
        <w:tc>
          <w:tcPr>
            <w:tcW w:w="1666" w:type="pct"/>
            <w:gridSpan w:val="2"/>
            <w:tcBorders>
              <w:top w:val="single" w:sz="4" w:space="0" w:color="auto"/>
            </w:tcBorders>
            <w:shd w:val="clear" w:color="auto" w:fill="FFFFFF"/>
          </w:tcPr>
          <w:p w14:paraId="4149AA96" w14:textId="00CF489C" w:rsidR="000B5EF5" w:rsidRPr="00C052CF" w:rsidRDefault="000B5EF5" w:rsidP="000B5EF5">
            <w:pPr>
              <w:pStyle w:val="CETBodytext"/>
              <w:jc w:val="center"/>
              <w:rPr>
                <w:lang w:val="en-GB"/>
              </w:rPr>
            </w:pPr>
            <w:r w:rsidRPr="00C052CF">
              <w:rPr>
                <w:lang w:val="en-GB"/>
              </w:rPr>
              <w:t>%</w:t>
            </w:r>
          </w:p>
        </w:tc>
      </w:tr>
      <w:tr w:rsidR="009B44A1" w:rsidRPr="00C052CF" w14:paraId="10642BB5" w14:textId="77777777" w:rsidTr="000B5EF5">
        <w:tc>
          <w:tcPr>
            <w:tcW w:w="1684" w:type="pct"/>
            <w:gridSpan w:val="2"/>
            <w:tcBorders>
              <w:bottom w:val="nil"/>
            </w:tcBorders>
            <w:shd w:val="clear" w:color="auto" w:fill="FFFFFF"/>
          </w:tcPr>
          <w:p w14:paraId="5C26FF74" w14:textId="7002EC30" w:rsidR="009B44A1" w:rsidRPr="00C052CF" w:rsidRDefault="000B5EF5" w:rsidP="003F7F93">
            <w:pPr>
              <w:pStyle w:val="CETBodytext"/>
              <w:rPr>
                <w:lang w:val="en-GB"/>
              </w:rPr>
            </w:pPr>
            <w:r w:rsidRPr="00C052CF">
              <w:rPr>
                <w:lang w:val="en-GB"/>
              </w:rPr>
              <w:t>Italian</w:t>
            </w:r>
          </w:p>
        </w:tc>
        <w:tc>
          <w:tcPr>
            <w:tcW w:w="1658" w:type="pct"/>
            <w:gridSpan w:val="2"/>
            <w:tcBorders>
              <w:bottom w:val="nil"/>
            </w:tcBorders>
            <w:shd w:val="clear" w:color="auto" w:fill="FFFFFF"/>
          </w:tcPr>
          <w:p w14:paraId="5F22F4C8" w14:textId="486DE280" w:rsidR="009B44A1" w:rsidRPr="00C052CF" w:rsidRDefault="000B5EF5" w:rsidP="000B5EF5">
            <w:pPr>
              <w:pStyle w:val="CETBodytext"/>
              <w:jc w:val="center"/>
              <w:rPr>
                <w:lang w:val="en-GB"/>
              </w:rPr>
            </w:pPr>
            <w:r w:rsidRPr="00C052CF">
              <w:rPr>
                <w:lang w:val="en-GB"/>
              </w:rPr>
              <w:t>327</w:t>
            </w:r>
          </w:p>
        </w:tc>
        <w:tc>
          <w:tcPr>
            <w:tcW w:w="1658" w:type="pct"/>
            <w:tcBorders>
              <w:bottom w:val="nil"/>
            </w:tcBorders>
            <w:shd w:val="clear" w:color="auto" w:fill="FFFFFF"/>
          </w:tcPr>
          <w:p w14:paraId="5B158F38" w14:textId="682CAEDE" w:rsidR="009B44A1" w:rsidRPr="00C052CF" w:rsidRDefault="000B5EF5" w:rsidP="000B5EF5">
            <w:pPr>
              <w:pStyle w:val="CETBodytext"/>
              <w:jc w:val="center"/>
              <w:rPr>
                <w:lang w:val="en-GB"/>
              </w:rPr>
            </w:pPr>
            <w:r w:rsidRPr="00C052CF">
              <w:rPr>
                <w:lang w:val="en-GB"/>
              </w:rPr>
              <w:t>72.</w:t>
            </w:r>
            <w:r w:rsidR="00C926C9" w:rsidRPr="00C052CF">
              <w:rPr>
                <w:lang w:val="en-GB"/>
              </w:rPr>
              <w:t>7</w:t>
            </w:r>
          </w:p>
        </w:tc>
      </w:tr>
      <w:tr w:rsidR="000B5EF5" w:rsidRPr="00C052CF" w14:paraId="5B8BD53C" w14:textId="77777777" w:rsidTr="000B5EF5">
        <w:tc>
          <w:tcPr>
            <w:tcW w:w="1684" w:type="pct"/>
            <w:gridSpan w:val="2"/>
            <w:tcBorders>
              <w:top w:val="nil"/>
              <w:bottom w:val="single" w:sz="4" w:space="0" w:color="auto"/>
            </w:tcBorders>
            <w:shd w:val="clear" w:color="auto" w:fill="FFFFFF"/>
          </w:tcPr>
          <w:p w14:paraId="61FBDEC9" w14:textId="308B60BE" w:rsidR="000B5EF5" w:rsidRPr="00C052CF" w:rsidRDefault="000B5EF5" w:rsidP="003F7F93">
            <w:pPr>
              <w:pStyle w:val="CETBodytext"/>
              <w:rPr>
                <w:lang w:val="en-GB"/>
              </w:rPr>
            </w:pPr>
            <w:r w:rsidRPr="00C052CF">
              <w:rPr>
                <w:lang w:val="en-GB"/>
              </w:rPr>
              <w:t>Non-Italian</w:t>
            </w:r>
          </w:p>
        </w:tc>
        <w:tc>
          <w:tcPr>
            <w:tcW w:w="1658" w:type="pct"/>
            <w:gridSpan w:val="2"/>
            <w:tcBorders>
              <w:top w:val="nil"/>
              <w:bottom w:val="single" w:sz="4" w:space="0" w:color="auto"/>
            </w:tcBorders>
            <w:shd w:val="clear" w:color="auto" w:fill="FFFFFF"/>
          </w:tcPr>
          <w:p w14:paraId="169EC2C1" w14:textId="3C4549C1" w:rsidR="000B5EF5" w:rsidRPr="00C052CF" w:rsidRDefault="000B5EF5" w:rsidP="000B5EF5">
            <w:pPr>
              <w:pStyle w:val="CETBodytext"/>
              <w:jc w:val="center"/>
              <w:rPr>
                <w:lang w:val="en-GB"/>
              </w:rPr>
            </w:pPr>
            <w:r w:rsidRPr="00C052CF">
              <w:rPr>
                <w:lang w:val="en-GB"/>
              </w:rPr>
              <w:t>123</w:t>
            </w:r>
          </w:p>
        </w:tc>
        <w:tc>
          <w:tcPr>
            <w:tcW w:w="1658" w:type="pct"/>
            <w:tcBorders>
              <w:top w:val="nil"/>
              <w:bottom w:val="single" w:sz="4" w:space="0" w:color="auto"/>
            </w:tcBorders>
            <w:shd w:val="clear" w:color="auto" w:fill="FFFFFF"/>
          </w:tcPr>
          <w:p w14:paraId="63A211A5" w14:textId="153D668C" w:rsidR="000B5EF5" w:rsidRPr="00C052CF" w:rsidRDefault="000B5EF5" w:rsidP="000B5EF5">
            <w:pPr>
              <w:pStyle w:val="CETBodytext"/>
              <w:jc w:val="center"/>
              <w:rPr>
                <w:lang w:val="en-GB"/>
              </w:rPr>
            </w:pPr>
            <w:r w:rsidRPr="00C052CF">
              <w:rPr>
                <w:lang w:val="en-GB"/>
              </w:rPr>
              <w:t>27.3</w:t>
            </w:r>
          </w:p>
        </w:tc>
      </w:tr>
      <w:tr w:rsidR="000B5EF5" w:rsidRPr="00C052CF" w14:paraId="493BD781" w14:textId="77777777" w:rsidTr="000B5EF5">
        <w:tc>
          <w:tcPr>
            <w:tcW w:w="1684" w:type="pct"/>
            <w:gridSpan w:val="2"/>
            <w:tcBorders>
              <w:top w:val="single" w:sz="4" w:space="0" w:color="auto"/>
            </w:tcBorders>
            <w:shd w:val="clear" w:color="auto" w:fill="FFFFFF"/>
          </w:tcPr>
          <w:p w14:paraId="6C434402" w14:textId="551CF6D3" w:rsidR="000B5EF5" w:rsidRPr="00C052CF" w:rsidRDefault="000B5EF5" w:rsidP="003F7F93">
            <w:pPr>
              <w:pStyle w:val="CETBodytext"/>
              <w:rPr>
                <w:b/>
                <w:bCs/>
                <w:lang w:val="en-GB"/>
              </w:rPr>
            </w:pPr>
            <w:r w:rsidRPr="00C052CF">
              <w:rPr>
                <w:b/>
                <w:bCs/>
                <w:lang w:val="en-GB"/>
              </w:rPr>
              <w:t>GENDER</w:t>
            </w:r>
          </w:p>
        </w:tc>
        <w:tc>
          <w:tcPr>
            <w:tcW w:w="1658" w:type="pct"/>
            <w:gridSpan w:val="2"/>
            <w:tcBorders>
              <w:top w:val="single" w:sz="4" w:space="0" w:color="auto"/>
            </w:tcBorders>
            <w:shd w:val="clear" w:color="auto" w:fill="FFFFFF"/>
          </w:tcPr>
          <w:p w14:paraId="6B94E5BA" w14:textId="5335E95F" w:rsidR="000B5EF5" w:rsidRPr="00C052CF" w:rsidRDefault="000B5EF5" w:rsidP="000B5EF5">
            <w:pPr>
              <w:pStyle w:val="CETBodytext"/>
              <w:jc w:val="center"/>
              <w:rPr>
                <w:lang w:val="en-GB"/>
              </w:rPr>
            </w:pPr>
            <w:r w:rsidRPr="00C052CF">
              <w:rPr>
                <w:lang w:val="en-GB"/>
              </w:rPr>
              <w:t>#</w:t>
            </w:r>
          </w:p>
        </w:tc>
        <w:tc>
          <w:tcPr>
            <w:tcW w:w="1658" w:type="pct"/>
            <w:tcBorders>
              <w:top w:val="single" w:sz="4" w:space="0" w:color="auto"/>
            </w:tcBorders>
            <w:shd w:val="clear" w:color="auto" w:fill="FFFFFF"/>
          </w:tcPr>
          <w:p w14:paraId="4A3E0B14" w14:textId="5646D0DB" w:rsidR="000B5EF5" w:rsidRPr="00C052CF" w:rsidRDefault="000B5EF5" w:rsidP="000B5EF5">
            <w:pPr>
              <w:pStyle w:val="CETBodytext"/>
              <w:jc w:val="center"/>
              <w:rPr>
                <w:lang w:val="en-GB"/>
              </w:rPr>
            </w:pPr>
            <w:r w:rsidRPr="00C052CF">
              <w:rPr>
                <w:lang w:val="en-GB"/>
              </w:rPr>
              <w:t>%</w:t>
            </w:r>
          </w:p>
        </w:tc>
      </w:tr>
      <w:tr w:rsidR="000B5EF5" w:rsidRPr="00C052CF" w14:paraId="62F11D15" w14:textId="77777777" w:rsidTr="000B5EF5">
        <w:tc>
          <w:tcPr>
            <w:tcW w:w="1684" w:type="pct"/>
            <w:gridSpan w:val="2"/>
            <w:tcBorders>
              <w:bottom w:val="nil"/>
            </w:tcBorders>
            <w:shd w:val="clear" w:color="auto" w:fill="FFFFFF"/>
          </w:tcPr>
          <w:p w14:paraId="03B8563F" w14:textId="67898C79" w:rsidR="000B5EF5" w:rsidRPr="00C052CF" w:rsidRDefault="000B5EF5" w:rsidP="003F7F93">
            <w:pPr>
              <w:pStyle w:val="CETBodytext"/>
              <w:rPr>
                <w:lang w:val="en-GB"/>
              </w:rPr>
            </w:pPr>
            <w:r w:rsidRPr="00C052CF">
              <w:rPr>
                <w:lang w:val="en-GB"/>
              </w:rPr>
              <w:t>Female</w:t>
            </w:r>
          </w:p>
        </w:tc>
        <w:tc>
          <w:tcPr>
            <w:tcW w:w="1658" w:type="pct"/>
            <w:gridSpan w:val="2"/>
            <w:tcBorders>
              <w:bottom w:val="nil"/>
            </w:tcBorders>
            <w:shd w:val="clear" w:color="auto" w:fill="FFFFFF"/>
          </w:tcPr>
          <w:p w14:paraId="51D16A74" w14:textId="1E4314AB" w:rsidR="000B5EF5" w:rsidRPr="00C052CF" w:rsidRDefault="000B5EF5" w:rsidP="000B5EF5">
            <w:pPr>
              <w:pStyle w:val="CETBodytext"/>
              <w:jc w:val="center"/>
              <w:rPr>
                <w:lang w:val="en-GB"/>
              </w:rPr>
            </w:pPr>
            <w:r w:rsidRPr="00C052CF">
              <w:rPr>
                <w:lang w:val="en-GB"/>
              </w:rPr>
              <w:t>34</w:t>
            </w:r>
          </w:p>
        </w:tc>
        <w:tc>
          <w:tcPr>
            <w:tcW w:w="1658" w:type="pct"/>
            <w:tcBorders>
              <w:bottom w:val="nil"/>
            </w:tcBorders>
            <w:shd w:val="clear" w:color="auto" w:fill="FFFFFF"/>
          </w:tcPr>
          <w:p w14:paraId="69EDCD7D" w14:textId="14E8DBAC" w:rsidR="000B5EF5" w:rsidRPr="00C052CF" w:rsidRDefault="000B5EF5" w:rsidP="000B5EF5">
            <w:pPr>
              <w:pStyle w:val="CETBodytext"/>
              <w:jc w:val="center"/>
              <w:rPr>
                <w:lang w:val="en-GB"/>
              </w:rPr>
            </w:pPr>
            <w:r w:rsidRPr="00C052CF">
              <w:rPr>
                <w:lang w:val="en-GB"/>
              </w:rPr>
              <w:t>7.</w:t>
            </w:r>
            <w:r w:rsidR="00C926C9" w:rsidRPr="00C052CF">
              <w:rPr>
                <w:lang w:val="en-GB"/>
              </w:rPr>
              <w:t>6</w:t>
            </w:r>
          </w:p>
        </w:tc>
      </w:tr>
      <w:tr w:rsidR="000B5EF5" w:rsidRPr="00C052CF" w14:paraId="5F225562" w14:textId="77777777" w:rsidTr="000B5EF5">
        <w:tc>
          <w:tcPr>
            <w:tcW w:w="1684" w:type="pct"/>
            <w:gridSpan w:val="2"/>
            <w:tcBorders>
              <w:top w:val="nil"/>
              <w:bottom w:val="single" w:sz="4" w:space="0" w:color="auto"/>
            </w:tcBorders>
            <w:shd w:val="clear" w:color="auto" w:fill="FFFFFF"/>
          </w:tcPr>
          <w:p w14:paraId="60AE55F0" w14:textId="45972F07" w:rsidR="000B5EF5" w:rsidRPr="00C052CF" w:rsidRDefault="000B5EF5" w:rsidP="003F7F93">
            <w:pPr>
              <w:pStyle w:val="CETBodytext"/>
              <w:rPr>
                <w:lang w:val="en-GB"/>
              </w:rPr>
            </w:pPr>
            <w:r w:rsidRPr="00C052CF">
              <w:rPr>
                <w:lang w:val="en-GB"/>
              </w:rPr>
              <w:t>Male</w:t>
            </w:r>
          </w:p>
        </w:tc>
        <w:tc>
          <w:tcPr>
            <w:tcW w:w="1658" w:type="pct"/>
            <w:gridSpan w:val="2"/>
            <w:tcBorders>
              <w:top w:val="nil"/>
              <w:bottom w:val="single" w:sz="4" w:space="0" w:color="auto"/>
            </w:tcBorders>
            <w:shd w:val="clear" w:color="auto" w:fill="FFFFFF"/>
          </w:tcPr>
          <w:p w14:paraId="1B23CECD" w14:textId="225A778D" w:rsidR="000B5EF5" w:rsidRPr="00C052CF" w:rsidRDefault="000B5EF5" w:rsidP="000B5EF5">
            <w:pPr>
              <w:pStyle w:val="CETBodytext"/>
              <w:jc w:val="center"/>
              <w:rPr>
                <w:lang w:val="en-GB"/>
              </w:rPr>
            </w:pPr>
            <w:r w:rsidRPr="00C052CF">
              <w:rPr>
                <w:lang w:val="en-GB"/>
              </w:rPr>
              <w:t>416</w:t>
            </w:r>
          </w:p>
        </w:tc>
        <w:tc>
          <w:tcPr>
            <w:tcW w:w="1658" w:type="pct"/>
            <w:tcBorders>
              <w:top w:val="nil"/>
              <w:bottom w:val="single" w:sz="4" w:space="0" w:color="auto"/>
            </w:tcBorders>
            <w:shd w:val="clear" w:color="auto" w:fill="FFFFFF"/>
          </w:tcPr>
          <w:p w14:paraId="47C1568E" w14:textId="44400B0F" w:rsidR="000B5EF5" w:rsidRPr="00C052CF" w:rsidRDefault="000B5EF5" w:rsidP="000B5EF5">
            <w:pPr>
              <w:pStyle w:val="CETBodytext"/>
              <w:jc w:val="center"/>
              <w:rPr>
                <w:lang w:val="en-GB"/>
              </w:rPr>
            </w:pPr>
            <w:r w:rsidRPr="00C052CF">
              <w:rPr>
                <w:lang w:val="en-GB"/>
              </w:rPr>
              <w:t>92.4</w:t>
            </w:r>
          </w:p>
        </w:tc>
      </w:tr>
      <w:tr w:rsidR="000B5EF5" w:rsidRPr="00C052CF" w14:paraId="5458E68D" w14:textId="77777777" w:rsidTr="000B5EF5">
        <w:tc>
          <w:tcPr>
            <w:tcW w:w="1684" w:type="pct"/>
            <w:gridSpan w:val="2"/>
            <w:tcBorders>
              <w:top w:val="single" w:sz="4" w:space="0" w:color="auto"/>
            </w:tcBorders>
            <w:shd w:val="clear" w:color="auto" w:fill="FFFFFF"/>
          </w:tcPr>
          <w:p w14:paraId="3EFC0FC7" w14:textId="042FB3BA" w:rsidR="000B5EF5" w:rsidRPr="00C052CF" w:rsidRDefault="000B5EF5" w:rsidP="003F7F93">
            <w:pPr>
              <w:pStyle w:val="CETBodytext"/>
              <w:rPr>
                <w:b/>
                <w:bCs/>
                <w:lang w:val="en-GB"/>
              </w:rPr>
            </w:pPr>
            <w:r w:rsidRPr="00C052CF">
              <w:rPr>
                <w:b/>
                <w:bCs/>
                <w:lang w:val="en-GB"/>
              </w:rPr>
              <w:t>SENIORITY [years]</w:t>
            </w:r>
          </w:p>
        </w:tc>
        <w:tc>
          <w:tcPr>
            <w:tcW w:w="1658" w:type="pct"/>
            <w:gridSpan w:val="2"/>
            <w:tcBorders>
              <w:top w:val="single" w:sz="4" w:space="0" w:color="auto"/>
            </w:tcBorders>
            <w:shd w:val="clear" w:color="auto" w:fill="FFFFFF"/>
          </w:tcPr>
          <w:p w14:paraId="66F619A9" w14:textId="3D9577D6" w:rsidR="000B5EF5" w:rsidRPr="00C052CF" w:rsidRDefault="000B5EF5" w:rsidP="000B5EF5">
            <w:pPr>
              <w:pStyle w:val="CETBodytext"/>
              <w:jc w:val="center"/>
              <w:rPr>
                <w:lang w:val="en-GB"/>
              </w:rPr>
            </w:pPr>
            <w:r w:rsidRPr="00C052CF">
              <w:rPr>
                <w:lang w:val="en-GB"/>
              </w:rPr>
              <w:t>#</w:t>
            </w:r>
          </w:p>
        </w:tc>
        <w:tc>
          <w:tcPr>
            <w:tcW w:w="1658" w:type="pct"/>
            <w:tcBorders>
              <w:top w:val="single" w:sz="4" w:space="0" w:color="auto"/>
            </w:tcBorders>
            <w:shd w:val="clear" w:color="auto" w:fill="FFFFFF"/>
          </w:tcPr>
          <w:p w14:paraId="0A435678" w14:textId="2A23229D" w:rsidR="000B5EF5" w:rsidRPr="00C052CF" w:rsidRDefault="000B5EF5" w:rsidP="000B5EF5">
            <w:pPr>
              <w:pStyle w:val="CETBodytext"/>
              <w:jc w:val="center"/>
              <w:rPr>
                <w:lang w:val="en-GB"/>
              </w:rPr>
            </w:pPr>
            <w:r w:rsidRPr="00C052CF">
              <w:rPr>
                <w:lang w:val="en-GB"/>
              </w:rPr>
              <w:t>%</w:t>
            </w:r>
          </w:p>
        </w:tc>
      </w:tr>
      <w:tr w:rsidR="000B5EF5" w:rsidRPr="00C052CF" w14:paraId="02455DCD" w14:textId="77777777" w:rsidTr="009B44A1">
        <w:tc>
          <w:tcPr>
            <w:tcW w:w="1684" w:type="pct"/>
            <w:gridSpan w:val="2"/>
            <w:shd w:val="clear" w:color="auto" w:fill="FFFFFF"/>
          </w:tcPr>
          <w:p w14:paraId="1CC0BB14" w14:textId="77BE1E74" w:rsidR="000B5EF5" w:rsidRPr="00C052CF" w:rsidRDefault="000B5EF5" w:rsidP="003F7F93">
            <w:pPr>
              <w:pStyle w:val="CETBodytext"/>
              <w:rPr>
                <w:lang w:val="en-GB"/>
              </w:rPr>
            </w:pPr>
            <w:r w:rsidRPr="00C052CF">
              <w:rPr>
                <w:lang w:val="en-GB"/>
              </w:rPr>
              <w:t>&lt;5</w:t>
            </w:r>
          </w:p>
        </w:tc>
        <w:tc>
          <w:tcPr>
            <w:tcW w:w="1658" w:type="pct"/>
            <w:gridSpan w:val="2"/>
            <w:shd w:val="clear" w:color="auto" w:fill="FFFFFF"/>
          </w:tcPr>
          <w:p w14:paraId="28D5B30D" w14:textId="3F075B1E" w:rsidR="000B5EF5" w:rsidRPr="00C052CF" w:rsidRDefault="000B5EF5" w:rsidP="000B5EF5">
            <w:pPr>
              <w:pStyle w:val="CETBodytext"/>
              <w:jc w:val="center"/>
              <w:rPr>
                <w:lang w:val="en-GB"/>
              </w:rPr>
            </w:pPr>
            <w:r w:rsidRPr="00C052CF">
              <w:rPr>
                <w:lang w:val="en-GB"/>
              </w:rPr>
              <w:t>139</w:t>
            </w:r>
          </w:p>
        </w:tc>
        <w:tc>
          <w:tcPr>
            <w:tcW w:w="1658" w:type="pct"/>
            <w:shd w:val="clear" w:color="auto" w:fill="FFFFFF"/>
          </w:tcPr>
          <w:p w14:paraId="2942C9D3" w14:textId="68D8AA2B" w:rsidR="000B5EF5" w:rsidRPr="00C052CF" w:rsidRDefault="000B5EF5" w:rsidP="000B5EF5">
            <w:pPr>
              <w:pStyle w:val="CETBodytext"/>
              <w:jc w:val="center"/>
              <w:rPr>
                <w:lang w:val="en-GB"/>
              </w:rPr>
            </w:pPr>
            <w:r w:rsidRPr="00C052CF">
              <w:rPr>
                <w:lang w:val="en-GB"/>
              </w:rPr>
              <w:t>30.</w:t>
            </w:r>
            <w:r w:rsidR="000C31ED" w:rsidRPr="00C052CF">
              <w:rPr>
                <w:lang w:val="en-GB"/>
              </w:rPr>
              <w:t>9</w:t>
            </w:r>
          </w:p>
        </w:tc>
      </w:tr>
      <w:tr w:rsidR="000B5EF5" w:rsidRPr="00C052CF" w14:paraId="44FB85B4" w14:textId="77777777" w:rsidTr="009B44A1">
        <w:tc>
          <w:tcPr>
            <w:tcW w:w="1684" w:type="pct"/>
            <w:gridSpan w:val="2"/>
            <w:shd w:val="clear" w:color="auto" w:fill="FFFFFF"/>
          </w:tcPr>
          <w:p w14:paraId="61602AC9" w14:textId="53836408" w:rsidR="000B5EF5" w:rsidRPr="00C052CF" w:rsidRDefault="000B5EF5" w:rsidP="003F7F93">
            <w:pPr>
              <w:pStyle w:val="CETBodytext"/>
              <w:rPr>
                <w:lang w:val="en-GB"/>
              </w:rPr>
            </w:pPr>
            <w:r w:rsidRPr="00C052CF">
              <w:rPr>
                <w:lang w:val="en-GB"/>
              </w:rPr>
              <w:t>5-20</w:t>
            </w:r>
          </w:p>
        </w:tc>
        <w:tc>
          <w:tcPr>
            <w:tcW w:w="1658" w:type="pct"/>
            <w:gridSpan w:val="2"/>
            <w:shd w:val="clear" w:color="auto" w:fill="FFFFFF"/>
          </w:tcPr>
          <w:p w14:paraId="41563EE8" w14:textId="6BAFB6A8" w:rsidR="000B5EF5" w:rsidRPr="00C052CF" w:rsidRDefault="000B5EF5" w:rsidP="000B5EF5">
            <w:pPr>
              <w:pStyle w:val="CETBodytext"/>
              <w:jc w:val="center"/>
              <w:rPr>
                <w:lang w:val="en-GB"/>
              </w:rPr>
            </w:pPr>
            <w:r w:rsidRPr="00C052CF">
              <w:rPr>
                <w:lang w:val="en-GB"/>
              </w:rPr>
              <w:t>295</w:t>
            </w:r>
          </w:p>
        </w:tc>
        <w:tc>
          <w:tcPr>
            <w:tcW w:w="1658" w:type="pct"/>
            <w:shd w:val="clear" w:color="auto" w:fill="FFFFFF"/>
          </w:tcPr>
          <w:p w14:paraId="24B8149D" w14:textId="6EFB95D8" w:rsidR="000B5EF5" w:rsidRPr="00C052CF" w:rsidRDefault="000B5EF5" w:rsidP="000B5EF5">
            <w:pPr>
              <w:pStyle w:val="CETBodytext"/>
              <w:jc w:val="center"/>
              <w:rPr>
                <w:lang w:val="en-GB"/>
              </w:rPr>
            </w:pPr>
            <w:r w:rsidRPr="00C052CF">
              <w:rPr>
                <w:lang w:val="en-GB"/>
              </w:rPr>
              <w:t>65.</w:t>
            </w:r>
            <w:r w:rsidR="000C31ED" w:rsidRPr="00C052CF">
              <w:rPr>
                <w:lang w:val="en-GB"/>
              </w:rPr>
              <w:t>6</w:t>
            </w:r>
          </w:p>
        </w:tc>
      </w:tr>
      <w:tr w:rsidR="009B44A1" w:rsidRPr="00C052CF" w14:paraId="5745F35F" w14:textId="77777777" w:rsidTr="009B44A1">
        <w:tc>
          <w:tcPr>
            <w:tcW w:w="1684" w:type="pct"/>
            <w:gridSpan w:val="2"/>
            <w:shd w:val="clear" w:color="auto" w:fill="FFFFFF"/>
          </w:tcPr>
          <w:p w14:paraId="6DED7D9E" w14:textId="3150C4AF" w:rsidR="009B44A1" w:rsidRPr="00C052CF" w:rsidRDefault="000B5EF5" w:rsidP="003F7F93">
            <w:pPr>
              <w:pStyle w:val="CETBodytext"/>
              <w:rPr>
                <w:lang w:val="en-GB"/>
              </w:rPr>
            </w:pPr>
            <w:r w:rsidRPr="00C052CF">
              <w:rPr>
                <w:lang w:val="en-GB"/>
              </w:rPr>
              <w:t>&gt;20</w:t>
            </w:r>
          </w:p>
        </w:tc>
        <w:tc>
          <w:tcPr>
            <w:tcW w:w="1658" w:type="pct"/>
            <w:gridSpan w:val="2"/>
            <w:shd w:val="clear" w:color="auto" w:fill="FFFFFF"/>
          </w:tcPr>
          <w:p w14:paraId="4AF8FF73" w14:textId="2F7AF6A3" w:rsidR="009B44A1" w:rsidRPr="00C052CF" w:rsidRDefault="000B5EF5" w:rsidP="000B5EF5">
            <w:pPr>
              <w:pStyle w:val="CETBodytext"/>
              <w:jc w:val="center"/>
              <w:rPr>
                <w:lang w:val="en-GB"/>
              </w:rPr>
            </w:pPr>
            <w:r w:rsidRPr="00C052CF">
              <w:rPr>
                <w:lang w:val="en-GB"/>
              </w:rPr>
              <w:t>16</w:t>
            </w:r>
          </w:p>
        </w:tc>
        <w:tc>
          <w:tcPr>
            <w:tcW w:w="1658" w:type="pct"/>
            <w:shd w:val="clear" w:color="auto" w:fill="FFFFFF"/>
          </w:tcPr>
          <w:p w14:paraId="4D6CABBA" w14:textId="3E5326F2" w:rsidR="009B44A1" w:rsidRPr="00C052CF" w:rsidRDefault="000B5EF5" w:rsidP="000B5EF5">
            <w:pPr>
              <w:pStyle w:val="CETBodytext"/>
              <w:jc w:val="center"/>
              <w:rPr>
                <w:lang w:val="en-GB"/>
              </w:rPr>
            </w:pPr>
            <w:r w:rsidRPr="00C052CF">
              <w:rPr>
                <w:lang w:val="en-GB"/>
              </w:rPr>
              <w:t>3.</w:t>
            </w:r>
            <w:r w:rsidR="000C31ED" w:rsidRPr="00C052CF">
              <w:rPr>
                <w:lang w:val="en-GB"/>
              </w:rPr>
              <w:t>5</w:t>
            </w:r>
          </w:p>
        </w:tc>
      </w:tr>
    </w:tbl>
    <w:p w14:paraId="27E8D87A" w14:textId="77777777" w:rsidR="00A55BA2" w:rsidRPr="00C052CF" w:rsidRDefault="00A55BA2" w:rsidP="00A55BA2">
      <w:pPr>
        <w:pStyle w:val="CETBodytext"/>
        <w:rPr>
          <w:lang w:val="en-GB"/>
        </w:rPr>
      </w:pPr>
    </w:p>
    <w:p w14:paraId="04963A06" w14:textId="22593E18" w:rsidR="00600535" w:rsidRPr="00C052CF" w:rsidRDefault="00981BF6" w:rsidP="00981BF6">
      <w:pPr>
        <w:pStyle w:val="CETheadingx"/>
        <w:rPr>
          <w:lang w:val="en-GB"/>
        </w:rPr>
      </w:pPr>
      <w:r w:rsidRPr="00C052CF">
        <w:rPr>
          <w:lang w:val="en-GB"/>
        </w:rPr>
        <w:t xml:space="preserve">3.2 </w:t>
      </w:r>
      <w:r w:rsidR="00303359" w:rsidRPr="00C052CF">
        <w:rPr>
          <w:lang w:val="en-GB"/>
        </w:rPr>
        <w:t>Correlation analysis</w:t>
      </w:r>
    </w:p>
    <w:p w14:paraId="3F4762D6" w14:textId="74D6AB73" w:rsidR="00380AC0" w:rsidRPr="00C052CF" w:rsidRDefault="00303359" w:rsidP="00303359">
      <w:pPr>
        <w:pStyle w:val="CETBodytext"/>
        <w:rPr>
          <w:lang w:val="en-GB"/>
        </w:rPr>
      </w:pPr>
      <w:r w:rsidRPr="00C052CF">
        <w:rPr>
          <w:lang w:val="en-GB"/>
        </w:rPr>
        <w:t xml:space="preserve">The </w:t>
      </w:r>
      <w:r w:rsidR="00820668" w:rsidRPr="00C052CF">
        <w:rPr>
          <w:lang w:val="en-GB"/>
        </w:rPr>
        <w:t xml:space="preserve">strength of </w:t>
      </w:r>
      <w:r w:rsidRPr="00C052CF">
        <w:rPr>
          <w:lang w:val="en-GB"/>
        </w:rPr>
        <w:t xml:space="preserve">the correlations </w:t>
      </w:r>
      <w:r w:rsidR="00820668" w:rsidRPr="00C052CF">
        <w:rPr>
          <w:lang w:val="en-GB"/>
        </w:rPr>
        <w:t xml:space="preserve">between the various prospectives examined in this study </w:t>
      </w:r>
      <w:r w:rsidR="00135BEF" w:rsidRPr="00C052CF">
        <w:rPr>
          <w:lang w:val="en-GB"/>
        </w:rPr>
        <w:t xml:space="preserve">is </w:t>
      </w:r>
      <w:r w:rsidRPr="00C052CF">
        <w:rPr>
          <w:lang w:val="en-GB"/>
        </w:rPr>
        <w:t xml:space="preserve">shown </w:t>
      </w:r>
      <w:r w:rsidR="00380AC0" w:rsidRPr="00C052CF">
        <w:rPr>
          <w:lang w:val="en-GB"/>
        </w:rPr>
        <w:t>in Table</w:t>
      </w:r>
      <w:r w:rsidR="00820668" w:rsidRPr="00C052CF">
        <w:rPr>
          <w:lang w:val="en-GB"/>
        </w:rPr>
        <w:t xml:space="preserve"> 2</w:t>
      </w:r>
      <w:r w:rsidR="00135BEF" w:rsidRPr="00C052CF">
        <w:rPr>
          <w:lang w:val="en-GB"/>
        </w:rPr>
        <w:t>, in</w:t>
      </w:r>
      <w:r w:rsidR="0096619C" w:rsidRPr="00C052CF">
        <w:rPr>
          <w:lang w:val="en-GB"/>
        </w:rPr>
        <w:t xml:space="preserve"> the </w:t>
      </w:r>
      <w:r w:rsidR="00135BEF" w:rsidRPr="00C052CF">
        <w:rPr>
          <w:lang w:val="en-GB"/>
        </w:rPr>
        <w:t xml:space="preserve">form of correlation coefficients </w:t>
      </w:r>
      <w:r w:rsidR="00135BEF" w:rsidRPr="00C052CF">
        <w:rPr>
          <w:i/>
          <w:iCs/>
          <w:lang w:val="en-GB"/>
        </w:rPr>
        <w:t>r</w:t>
      </w:r>
      <w:r w:rsidR="00380AC0" w:rsidRPr="00C052CF">
        <w:rPr>
          <w:lang w:val="en-GB"/>
        </w:rPr>
        <w:t>.</w:t>
      </w:r>
      <w:r w:rsidR="0096619C" w:rsidRPr="00C052CF">
        <w:rPr>
          <w:lang w:val="en-GB"/>
        </w:rPr>
        <w:t xml:space="preserve"> </w:t>
      </w:r>
      <w:r w:rsidR="00135BEF" w:rsidRPr="00C052CF">
        <w:t>All correlations are statistically significant (</w:t>
      </w:r>
      <w:r w:rsidR="00135BEF" w:rsidRPr="00C052CF">
        <w:rPr>
          <w:i/>
          <w:iCs/>
        </w:rPr>
        <w:t>p</w:t>
      </w:r>
      <w:r w:rsidR="00135BEF" w:rsidRPr="00C052CF">
        <w:t>&lt;0.01), which suggests a strong level of evidence of the relationships, and ultimately indicates that observed association between the variables is unlikely to be due to random chance.</w:t>
      </w:r>
    </w:p>
    <w:p w14:paraId="52190D14" w14:textId="76A05458" w:rsidR="00303359" w:rsidRPr="00C052CF" w:rsidRDefault="00303359" w:rsidP="00111EA0">
      <w:pPr>
        <w:pStyle w:val="CETTabletitle"/>
      </w:pPr>
      <w:r w:rsidRPr="00C052CF">
        <w:t xml:space="preserve">Table </w:t>
      </w:r>
      <w:r w:rsidR="00981BF6" w:rsidRPr="00C052CF">
        <w:t>2</w:t>
      </w:r>
      <w:r w:rsidRPr="00C052CF">
        <w:t xml:space="preserve">: </w:t>
      </w:r>
      <w:r w:rsidR="009F1CED" w:rsidRPr="00C052CF">
        <w:t>Results of the correlations analysis</w:t>
      </w:r>
      <w:r w:rsidR="00847D6C" w:rsidRPr="00C052CF">
        <w:t xml:space="preserve"> (</w:t>
      </w:r>
      <w:r w:rsidR="00CF4B67" w:rsidRPr="00C052CF">
        <w:t xml:space="preserve">all </w:t>
      </w:r>
      <w:r w:rsidR="00847D6C" w:rsidRPr="00C052CF">
        <w:t>correlations are significant at p&lt;0.01)</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1134"/>
        <w:gridCol w:w="1134"/>
        <w:gridCol w:w="1134"/>
        <w:gridCol w:w="1134"/>
        <w:gridCol w:w="1151"/>
        <w:gridCol w:w="1134"/>
      </w:tblGrid>
      <w:tr w:rsidR="001A774C" w:rsidRPr="00C052CF" w14:paraId="5B1A3DF8" w14:textId="3535E2DD" w:rsidTr="00135BEF">
        <w:tc>
          <w:tcPr>
            <w:tcW w:w="1701" w:type="dxa"/>
            <w:tcBorders>
              <w:top w:val="single" w:sz="12" w:space="0" w:color="008000"/>
              <w:bottom w:val="single" w:sz="6" w:space="0" w:color="008000"/>
            </w:tcBorders>
            <w:shd w:val="clear" w:color="auto" w:fill="FFFFFF"/>
          </w:tcPr>
          <w:p w14:paraId="261787D7" w14:textId="6C9051C5" w:rsidR="001A774C" w:rsidRPr="00C052CF" w:rsidRDefault="001A774C" w:rsidP="003F7F93">
            <w:pPr>
              <w:pStyle w:val="CETBodytext"/>
              <w:rPr>
                <w:lang w:val="en-GB"/>
              </w:rPr>
            </w:pPr>
          </w:p>
        </w:tc>
        <w:tc>
          <w:tcPr>
            <w:tcW w:w="1134" w:type="dxa"/>
            <w:tcBorders>
              <w:top w:val="single" w:sz="12" w:space="0" w:color="008000"/>
              <w:bottom w:val="single" w:sz="6" w:space="0" w:color="008000"/>
            </w:tcBorders>
            <w:shd w:val="clear" w:color="auto" w:fill="FFFFFF"/>
          </w:tcPr>
          <w:p w14:paraId="6FC31932" w14:textId="1A6871D8" w:rsidR="001A774C" w:rsidRPr="00C052CF" w:rsidRDefault="001A774C" w:rsidP="003F7F93">
            <w:pPr>
              <w:pStyle w:val="CETBodytext"/>
              <w:rPr>
                <w:lang w:val="en-GB"/>
              </w:rPr>
            </w:pPr>
            <w:r w:rsidRPr="00C052CF">
              <w:rPr>
                <w:lang w:val="en-GB"/>
              </w:rPr>
              <w:t>Ergonomics</w:t>
            </w:r>
          </w:p>
        </w:tc>
        <w:tc>
          <w:tcPr>
            <w:tcW w:w="1134" w:type="dxa"/>
            <w:tcBorders>
              <w:top w:val="single" w:sz="12" w:space="0" w:color="008000"/>
              <w:bottom w:val="single" w:sz="4" w:space="0" w:color="auto"/>
            </w:tcBorders>
            <w:shd w:val="clear" w:color="auto" w:fill="FFFFFF"/>
          </w:tcPr>
          <w:p w14:paraId="2AAA880E" w14:textId="44F87EA8" w:rsidR="001A774C" w:rsidRPr="00C052CF" w:rsidRDefault="001A774C" w:rsidP="003F7F93">
            <w:pPr>
              <w:pStyle w:val="CETBodytext"/>
              <w:rPr>
                <w:lang w:val="en-GB"/>
              </w:rPr>
            </w:pPr>
            <w:r w:rsidRPr="00C052CF">
              <w:rPr>
                <w:lang w:val="en-GB"/>
              </w:rPr>
              <w:t>Safety participation</w:t>
            </w:r>
          </w:p>
        </w:tc>
        <w:tc>
          <w:tcPr>
            <w:tcW w:w="1134" w:type="dxa"/>
            <w:tcBorders>
              <w:top w:val="single" w:sz="12" w:space="0" w:color="008000"/>
              <w:bottom w:val="single" w:sz="4" w:space="0" w:color="auto"/>
            </w:tcBorders>
            <w:shd w:val="clear" w:color="auto" w:fill="FFFFFF"/>
          </w:tcPr>
          <w:p w14:paraId="6B324259" w14:textId="7666D6CC" w:rsidR="001A774C" w:rsidRPr="00C052CF" w:rsidRDefault="001A774C" w:rsidP="001A774C">
            <w:pPr>
              <w:pStyle w:val="CETBodytext"/>
              <w:rPr>
                <w:lang w:val="en-GB"/>
              </w:rPr>
            </w:pPr>
            <w:r w:rsidRPr="00C052CF">
              <w:rPr>
                <w:lang w:val="en-GB"/>
              </w:rPr>
              <w:t>Lean thinking</w:t>
            </w:r>
          </w:p>
        </w:tc>
        <w:tc>
          <w:tcPr>
            <w:tcW w:w="1134" w:type="dxa"/>
            <w:tcBorders>
              <w:top w:val="single" w:sz="12" w:space="0" w:color="008000"/>
              <w:bottom w:val="single" w:sz="4" w:space="0" w:color="auto"/>
            </w:tcBorders>
            <w:shd w:val="clear" w:color="auto" w:fill="FFFFFF"/>
          </w:tcPr>
          <w:p w14:paraId="02283231" w14:textId="7FC11D71" w:rsidR="001A774C" w:rsidRPr="00C052CF" w:rsidRDefault="001A774C" w:rsidP="001A774C">
            <w:pPr>
              <w:pStyle w:val="CETBodytext"/>
              <w:rPr>
                <w:lang w:val="en-GB"/>
              </w:rPr>
            </w:pPr>
            <w:r w:rsidRPr="00C052CF">
              <w:rPr>
                <w:lang w:val="en-GB"/>
              </w:rPr>
              <w:t>Safety compliance</w:t>
            </w:r>
          </w:p>
        </w:tc>
        <w:tc>
          <w:tcPr>
            <w:tcW w:w="1151" w:type="dxa"/>
            <w:tcBorders>
              <w:top w:val="single" w:sz="12" w:space="0" w:color="008000"/>
              <w:bottom w:val="single" w:sz="4" w:space="0" w:color="auto"/>
            </w:tcBorders>
          </w:tcPr>
          <w:p w14:paraId="6E33FC61" w14:textId="7289A499" w:rsidR="001A774C" w:rsidRPr="00C052CF" w:rsidRDefault="001A774C" w:rsidP="001A774C">
            <w:pPr>
              <w:pStyle w:val="CETBodytext"/>
              <w:rPr>
                <w:lang w:val="en-GB"/>
              </w:rPr>
            </w:pPr>
            <w:r w:rsidRPr="00C052CF">
              <w:rPr>
                <w:lang w:val="en-GB"/>
              </w:rPr>
              <w:t>Environmental sustainability</w:t>
            </w:r>
          </w:p>
        </w:tc>
        <w:tc>
          <w:tcPr>
            <w:tcW w:w="1134" w:type="dxa"/>
            <w:tcBorders>
              <w:top w:val="single" w:sz="12" w:space="0" w:color="008000"/>
              <w:bottom w:val="single" w:sz="4" w:space="0" w:color="auto"/>
            </w:tcBorders>
          </w:tcPr>
          <w:p w14:paraId="6F4CF68C" w14:textId="5D042E89" w:rsidR="001A774C" w:rsidRPr="00C052CF" w:rsidRDefault="001A774C" w:rsidP="001A774C">
            <w:pPr>
              <w:pStyle w:val="CETBodytext"/>
              <w:rPr>
                <w:lang w:val="en-GB"/>
              </w:rPr>
            </w:pPr>
            <w:r w:rsidRPr="00C052CF">
              <w:rPr>
                <w:lang w:val="en-GB"/>
              </w:rPr>
              <w:t>People excellence</w:t>
            </w:r>
          </w:p>
        </w:tc>
      </w:tr>
      <w:tr w:rsidR="001A774C" w:rsidRPr="00C052CF" w14:paraId="56D84460" w14:textId="769B56E3" w:rsidTr="00135BEF">
        <w:tc>
          <w:tcPr>
            <w:tcW w:w="1701" w:type="dxa"/>
            <w:tcBorders>
              <w:top w:val="single" w:sz="4" w:space="0" w:color="9BBB59"/>
            </w:tcBorders>
            <w:shd w:val="clear" w:color="auto" w:fill="FFFFFF"/>
          </w:tcPr>
          <w:p w14:paraId="18C82778" w14:textId="435AA4A1" w:rsidR="001A774C" w:rsidRPr="00C052CF" w:rsidRDefault="001A774C" w:rsidP="003F7F93">
            <w:pPr>
              <w:pStyle w:val="CETBodytext"/>
              <w:rPr>
                <w:lang w:val="en-GB"/>
              </w:rPr>
            </w:pPr>
            <w:r w:rsidRPr="00C052CF">
              <w:rPr>
                <w:lang w:val="en-GB"/>
              </w:rPr>
              <w:t>Ergonomics</w:t>
            </w:r>
          </w:p>
        </w:tc>
        <w:tc>
          <w:tcPr>
            <w:tcW w:w="1134" w:type="dxa"/>
            <w:tcBorders>
              <w:top w:val="single" w:sz="4" w:space="0" w:color="9BBB59"/>
            </w:tcBorders>
            <w:shd w:val="clear" w:color="auto" w:fill="FFFFFF"/>
          </w:tcPr>
          <w:p w14:paraId="519EDEF0" w14:textId="5247F869" w:rsidR="001A774C" w:rsidRPr="00C052CF" w:rsidRDefault="009A1AD4" w:rsidP="003F7F93">
            <w:pPr>
              <w:pStyle w:val="CETBodytext"/>
              <w:rPr>
                <w:lang w:val="en-GB"/>
              </w:rPr>
            </w:pPr>
            <w:r w:rsidRPr="00C052CF">
              <w:rPr>
                <w:lang w:val="en-GB"/>
              </w:rPr>
              <w:t>1.000</w:t>
            </w:r>
          </w:p>
        </w:tc>
        <w:tc>
          <w:tcPr>
            <w:tcW w:w="1134" w:type="dxa"/>
            <w:tcBorders>
              <w:top w:val="single" w:sz="4" w:space="0" w:color="auto"/>
            </w:tcBorders>
            <w:shd w:val="clear" w:color="auto" w:fill="FFFFFF"/>
          </w:tcPr>
          <w:p w14:paraId="56DB8DCE" w14:textId="4A7BD11C" w:rsidR="001A774C" w:rsidRPr="00C052CF" w:rsidRDefault="001A774C" w:rsidP="003F7F93">
            <w:pPr>
              <w:pStyle w:val="CETBodytext"/>
              <w:rPr>
                <w:lang w:val="en-GB"/>
              </w:rPr>
            </w:pPr>
            <w:r w:rsidRPr="00C052CF">
              <w:rPr>
                <w:lang w:val="en-GB"/>
              </w:rPr>
              <w:t>0.355</w:t>
            </w:r>
          </w:p>
        </w:tc>
        <w:tc>
          <w:tcPr>
            <w:tcW w:w="1134" w:type="dxa"/>
            <w:tcBorders>
              <w:top w:val="single" w:sz="4" w:space="0" w:color="auto"/>
            </w:tcBorders>
            <w:shd w:val="clear" w:color="auto" w:fill="FFFFFF"/>
          </w:tcPr>
          <w:p w14:paraId="3FDBF1E6" w14:textId="091928E2" w:rsidR="001A774C" w:rsidRPr="00C052CF" w:rsidRDefault="001A774C" w:rsidP="001A774C">
            <w:pPr>
              <w:pStyle w:val="CETBodytext"/>
              <w:rPr>
                <w:lang w:val="en-GB"/>
              </w:rPr>
            </w:pPr>
            <w:r w:rsidRPr="00C052CF">
              <w:rPr>
                <w:lang w:val="en-GB"/>
              </w:rPr>
              <w:t>0.469</w:t>
            </w:r>
          </w:p>
        </w:tc>
        <w:tc>
          <w:tcPr>
            <w:tcW w:w="1134" w:type="dxa"/>
            <w:tcBorders>
              <w:top w:val="single" w:sz="4" w:space="0" w:color="auto"/>
            </w:tcBorders>
            <w:shd w:val="clear" w:color="auto" w:fill="FFFFFF"/>
          </w:tcPr>
          <w:p w14:paraId="73DBEB21" w14:textId="690A075B" w:rsidR="001A774C" w:rsidRPr="00C052CF" w:rsidRDefault="001A774C" w:rsidP="001A774C">
            <w:pPr>
              <w:pStyle w:val="CETBodytext"/>
              <w:rPr>
                <w:lang w:val="en-GB"/>
              </w:rPr>
            </w:pPr>
            <w:r w:rsidRPr="00C052CF">
              <w:rPr>
                <w:lang w:val="en-GB"/>
              </w:rPr>
              <w:t>0.523</w:t>
            </w:r>
          </w:p>
        </w:tc>
        <w:tc>
          <w:tcPr>
            <w:tcW w:w="1151" w:type="dxa"/>
            <w:tcBorders>
              <w:top w:val="single" w:sz="4" w:space="0" w:color="auto"/>
            </w:tcBorders>
          </w:tcPr>
          <w:p w14:paraId="763D42A0" w14:textId="7B4707FE" w:rsidR="001A774C" w:rsidRPr="00C052CF" w:rsidRDefault="001A774C" w:rsidP="001A774C">
            <w:pPr>
              <w:pStyle w:val="CETBodytext"/>
              <w:rPr>
                <w:lang w:val="en-GB"/>
              </w:rPr>
            </w:pPr>
            <w:r w:rsidRPr="00C052CF">
              <w:rPr>
                <w:lang w:val="en-GB"/>
              </w:rPr>
              <w:t>0.370</w:t>
            </w:r>
          </w:p>
        </w:tc>
        <w:tc>
          <w:tcPr>
            <w:tcW w:w="1134" w:type="dxa"/>
            <w:tcBorders>
              <w:top w:val="single" w:sz="4" w:space="0" w:color="auto"/>
            </w:tcBorders>
          </w:tcPr>
          <w:p w14:paraId="40613063" w14:textId="09C2E8CC" w:rsidR="001A774C" w:rsidRPr="00C052CF" w:rsidRDefault="001A774C" w:rsidP="001A774C">
            <w:pPr>
              <w:pStyle w:val="CETBodytext"/>
              <w:rPr>
                <w:lang w:val="en-GB"/>
              </w:rPr>
            </w:pPr>
            <w:r w:rsidRPr="00C052CF">
              <w:rPr>
                <w:lang w:val="en-GB"/>
              </w:rPr>
              <w:t>0.498</w:t>
            </w:r>
          </w:p>
        </w:tc>
      </w:tr>
      <w:tr w:rsidR="001A774C" w:rsidRPr="00C052CF" w14:paraId="74E5D374" w14:textId="77777777" w:rsidTr="00135BEF">
        <w:tc>
          <w:tcPr>
            <w:tcW w:w="1701" w:type="dxa"/>
            <w:shd w:val="clear" w:color="auto" w:fill="FFFFFF"/>
          </w:tcPr>
          <w:p w14:paraId="7712D36E" w14:textId="6EE1E7CD" w:rsidR="001A774C" w:rsidRPr="00C052CF" w:rsidRDefault="001A774C" w:rsidP="003F7F93">
            <w:pPr>
              <w:pStyle w:val="CETBodytext"/>
              <w:rPr>
                <w:lang w:val="en-GB"/>
              </w:rPr>
            </w:pPr>
            <w:r w:rsidRPr="00C052CF">
              <w:rPr>
                <w:lang w:val="en-GB"/>
              </w:rPr>
              <w:t>Safety participation</w:t>
            </w:r>
          </w:p>
        </w:tc>
        <w:tc>
          <w:tcPr>
            <w:tcW w:w="1134" w:type="dxa"/>
            <w:shd w:val="clear" w:color="auto" w:fill="FFFFFF"/>
          </w:tcPr>
          <w:p w14:paraId="28461FDE" w14:textId="77777777" w:rsidR="001A774C" w:rsidRPr="00C052CF" w:rsidRDefault="001A774C" w:rsidP="003F7F93">
            <w:pPr>
              <w:pStyle w:val="CETBodytext"/>
              <w:rPr>
                <w:lang w:val="en-GB"/>
              </w:rPr>
            </w:pPr>
          </w:p>
        </w:tc>
        <w:tc>
          <w:tcPr>
            <w:tcW w:w="1134" w:type="dxa"/>
            <w:shd w:val="clear" w:color="auto" w:fill="FFFFFF"/>
          </w:tcPr>
          <w:p w14:paraId="254159B2" w14:textId="77777777" w:rsidR="001A774C" w:rsidRPr="00C052CF" w:rsidRDefault="001A774C" w:rsidP="003F7F93">
            <w:pPr>
              <w:pStyle w:val="CETBodytext"/>
              <w:rPr>
                <w:lang w:val="en-GB"/>
              </w:rPr>
            </w:pPr>
          </w:p>
        </w:tc>
        <w:tc>
          <w:tcPr>
            <w:tcW w:w="1134" w:type="dxa"/>
            <w:shd w:val="clear" w:color="auto" w:fill="FFFFFF"/>
          </w:tcPr>
          <w:p w14:paraId="571AD788" w14:textId="4312DE23" w:rsidR="001A774C" w:rsidRPr="00C052CF" w:rsidRDefault="001A774C" w:rsidP="003F7F93">
            <w:pPr>
              <w:pStyle w:val="CETBodytext"/>
              <w:ind w:right="-1"/>
              <w:rPr>
                <w:rFonts w:cs="Arial"/>
                <w:b/>
                <w:bCs/>
                <w:i/>
                <w:iCs/>
                <w:szCs w:val="18"/>
                <w:lang w:val="en-GB"/>
              </w:rPr>
            </w:pPr>
            <w:r w:rsidRPr="00C052CF">
              <w:rPr>
                <w:rFonts w:cs="Arial"/>
                <w:b/>
                <w:bCs/>
                <w:i/>
                <w:iCs/>
                <w:szCs w:val="18"/>
                <w:lang w:val="en-GB"/>
              </w:rPr>
              <w:t>0.663</w:t>
            </w:r>
          </w:p>
        </w:tc>
        <w:tc>
          <w:tcPr>
            <w:tcW w:w="1134" w:type="dxa"/>
            <w:shd w:val="clear" w:color="auto" w:fill="FFFFFF"/>
          </w:tcPr>
          <w:p w14:paraId="3BCB5C64" w14:textId="46953893" w:rsidR="001A774C" w:rsidRPr="00C052CF" w:rsidRDefault="001A774C" w:rsidP="003F7F93">
            <w:pPr>
              <w:pStyle w:val="CETBodytext"/>
              <w:ind w:right="-1"/>
              <w:rPr>
                <w:rFonts w:cs="Arial"/>
                <w:szCs w:val="18"/>
                <w:lang w:val="en-GB"/>
              </w:rPr>
            </w:pPr>
            <w:r w:rsidRPr="00C052CF">
              <w:rPr>
                <w:rFonts w:cs="Arial"/>
                <w:szCs w:val="18"/>
                <w:lang w:val="en-GB"/>
              </w:rPr>
              <w:t>0.593</w:t>
            </w:r>
          </w:p>
        </w:tc>
        <w:tc>
          <w:tcPr>
            <w:tcW w:w="1151" w:type="dxa"/>
          </w:tcPr>
          <w:p w14:paraId="03A435F5" w14:textId="749B3D24" w:rsidR="001A774C" w:rsidRPr="00C052CF" w:rsidRDefault="001A774C" w:rsidP="003F7F93">
            <w:pPr>
              <w:pStyle w:val="CETBodytext"/>
              <w:ind w:right="-1"/>
              <w:rPr>
                <w:rFonts w:cs="Arial"/>
                <w:szCs w:val="18"/>
                <w:lang w:val="en-GB"/>
              </w:rPr>
            </w:pPr>
            <w:r w:rsidRPr="00C052CF">
              <w:rPr>
                <w:rFonts w:cs="Arial"/>
                <w:b/>
                <w:bCs/>
                <w:i/>
                <w:iCs/>
                <w:szCs w:val="18"/>
                <w:lang w:val="en-GB"/>
              </w:rPr>
              <w:t>0.696</w:t>
            </w:r>
          </w:p>
        </w:tc>
        <w:tc>
          <w:tcPr>
            <w:tcW w:w="1134" w:type="dxa"/>
          </w:tcPr>
          <w:p w14:paraId="4DB6B25F" w14:textId="10235FD4" w:rsidR="001A774C" w:rsidRPr="00C052CF" w:rsidRDefault="001A774C" w:rsidP="003F7F93">
            <w:pPr>
              <w:pStyle w:val="CETBodytext"/>
              <w:ind w:right="-1"/>
              <w:rPr>
                <w:rFonts w:cs="Arial"/>
                <w:szCs w:val="18"/>
                <w:lang w:val="en-GB"/>
              </w:rPr>
            </w:pPr>
            <w:r w:rsidRPr="00C052CF">
              <w:rPr>
                <w:rFonts w:cs="Arial"/>
                <w:szCs w:val="18"/>
                <w:lang w:val="en-GB"/>
              </w:rPr>
              <w:t>0.594</w:t>
            </w:r>
          </w:p>
        </w:tc>
      </w:tr>
      <w:tr w:rsidR="001A774C" w:rsidRPr="00C052CF" w14:paraId="239CD1E3" w14:textId="77777777" w:rsidTr="00135BEF">
        <w:tc>
          <w:tcPr>
            <w:tcW w:w="1701" w:type="dxa"/>
            <w:shd w:val="clear" w:color="auto" w:fill="FFFFFF"/>
          </w:tcPr>
          <w:p w14:paraId="4C4CA550" w14:textId="28D1C5BE" w:rsidR="001A774C" w:rsidRPr="00C052CF" w:rsidRDefault="001A774C" w:rsidP="003F7F93">
            <w:pPr>
              <w:pStyle w:val="CETBodytext"/>
              <w:rPr>
                <w:lang w:val="en-GB"/>
              </w:rPr>
            </w:pPr>
            <w:r w:rsidRPr="00C052CF">
              <w:rPr>
                <w:lang w:val="en-GB"/>
              </w:rPr>
              <w:t>Lean thinking</w:t>
            </w:r>
          </w:p>
        </w:tc>
        <w:tc>
          <w:tcPr>
            <w:tcW w:w="1134" w:type="dxa"/>
            <w:shd w:val="clear" w:color="auto" w:fill="FFFFFF"/>
          </w:tcPr>
          <w:p w14:paraId="336ED1A5" w14:textId="77777777" w:rsidR="001A774C" w:rsidRPr="00C052CF" w:rsidRDefault="001A774C" w:rsidP="003F7F93">
            <w:pPr>
              <w:pStyle w:val="CETBodytext"/>
              <w:rPr>
                <w:lang w:val="en-GB"/>
              </w:rPr>
            </w:pPr>
          </w:p>
        </w:tc>
        <w:tc>
          <w:tcPr>
            <w:tcW w:w="1134" w:type="dxa"/>
            <w:shd w:val="clear" w:color="auto" w:fill="FFFFFF"/>
          </w:tcPr>
          <w:p w14:paraId="3D6D69C7" w14:textId="77777777" w:rsidR="001A774C" w:rsidRPr="00C052CF" w:rsidRDefault="001A774C" w:rsidP="003F7F93">
            <w:pPr>
              <w:pStyle w:val="CETBodytext"/>
              <w:rPr>
                <w:lang w:val="en-GB"/>
              </w:rPr>
            </w:pPr>
          </w:p>
        </w:tc>
        <w:tc>
          <w:tcPr>
            <w:tcW w:w="1134" w:type="dxa"/>
            <w:shd w:val="clear" w:color="auto" w:fill="FFFFFF"/>
          </w:tcPr>
          <w:p w14:paraId="297FD208" w14:textId="77777777" w:rsidR="001A774C" w:rsidRPr="00C052CF" w:rsidRDefault="001A774C" w:rsidP="003F7F93">
            <w:pPr>
              <w:pStyle w:val="CETBodytext"/>
              <w:ind w:right="-1"/>
              <w:rPr>
                <w:rFonts w:cs="Arial"/>
                <w:szCs w:val="18"/>
                <w:lang w:val="en-GB"/>
              </w:rPr>
            </w:pPr>
          </w:p>
        </w:tc>
        <w:tc>
          <w:tcPr>
            <w:tcW w:w="1134" w:type="dxa"/>
            <w:shd w:val="clear" w:color="auto" w:fill="FFFFFF"/>
          </w:tcPr>
          <w:p w14:paraId="27A95579" w14:textId="0D7F8F50" w:rsidR="001A774C" w:rsidRPr="00C052CF" w:rsidRDefault="001A774C" w:rsidP="003F7F93">
            <w:pPr>
              <w:pStyle w:val="CETBodytext"/>
              <w:ind w:right="-1"/>
              <w:rPr>
                <w:rFonts w:cs="Arial"/>
                <w:szCs w:val="18"/>
                <w:lang w:val="en-GB"/>
              </w:rPr>
            </w:pPr>
            <w:r w:rsidRPr="00C052CF">
              <w:rPr>
                <w:rFonts w:cs="Arial"/>
                <w:b/>
                <w:bCs/>
                <w:i/>
                <w:iCs/>
                <w:szCs w:val="18"/>
                <w:lang w:val="en-GB"/>
              </w:rPr>
              <w:t>0.703</w:t>
            </w:r>
          </w:p>
        </w:tc>
        <w:tc>
          <w:tcPr>
            <w:tcW w:w="1151" w:type="dxa"/>
          </w:tcPr>
          <w:p w14:paraId="2640D142" w14:textId="381B67D9" w:rsidR="001A774C" w:rsidRPr="00C052CF" w:rsidRDefault="001A774C" w:rsidP="003F7F93">
            <w:pPr>
              <w:pStyle w:val="CETBodytext"/>
              <w:ind w:right="-1"/>
              <w:rPr>
                <w:rFonts w:cs="Arial"/>
                <w:szCs w:val="18"/>
                <w:lang w:val="en-GB"/>
              </w:rPr>
            </w:pPr>
            <w:r w:rsidRPr="00C052CF">
              <w:rPr>
                <w:rFonts w:cs="Arial"/>
                <w:b/>
                <w:bCs/>
                <w:i/>
                <w:iCs/>
                <w:szCs w:val="18"/>
                <w:lang w:val="en-GB"/>
              </w:rPr>
              <w:t>0.676</w:t>
            </w:r>
          </w:p>
        </w:tc>
        <w:tc>
          <w:tcPr>
            <w:tcW w:w="1134" w:type="dxa"/>
          </w:tcPr>
          <w:p w14:paraId="1FA8A3B3" w14:textId="5D12CCB4" w:rsidR="001A774C" w:rsidRPr="00C052CF" w:rsidRDefault="001A774C" w:rsidP="003F7F93">
            <w:pPr>
              <w:pStyle w:val="CETBodytext"/>
              <w:ind w:right="-1"/>
              <w:rPr>
                <w:rFonts w:cs="Arial"/>
                <w:szCs w:val="18"/>
                <w:lang w:val="en-GB"/>
              </w:rPr>
            </w:pPr>
            <w:r w:rsidRPr="00C052CF">
              <w:rPr>
                <w:rFonts w:cs="Arial"/>
                <w:b/>
                <w:bCs/>
                <w:i/>
                <w:iCs/>
                <w:szCs w:val="18"/>
                <w:lang w:val="en-GB"/>
              </w:rPr>
              <w:t>0.736</w:t>
            </w:r>
          </w:p>
        </w:tc>
      </w:tr>
      <w:tr w:rsidR="001A774C" w:rsidRPr="00C052CF" w14:paraId="28761B41" w14:textId="77777777" w:rsidTr="00135BEF">
        <w:tc>
          <w:tcPr>
            <w:tcW w:w="1701" w:type="dxa"/>
            <w:shd w:val="clear" w:color="auto" w:fill="FFFFFF"/>
          </w:tcPr>
          <w:p w14:paraId="2DC9D54E" w14:textId="049D7431" w:rsidR="001A774C" w:rsidRPr="00C052CF" w:rsidRDefault="001A774C" w:rsidP="003F7F93">
            <w:pPr>
              <w:pStyle w:val="CETBodytext"/>
              <w:rPr>
                <w:lang w:val="en-GB"/>
              </w:rPr>
            </w:pPr>
            <w:r w:rsidRPr="00C052CF">
              <w:rPr>
                <w:lang w:val="en-GB"/>
              </w:rPr>
              <w:t>Safety compliance</w:t>
            </w:r>
          </w:p>
        </w:tc>
        <w:tc>
          <w:tcPr>
            <w:tcW w:w="1134" w:type="dxa"/>
            <w:shd w:val="clear" w:color="auto" w:fill="FFFFFF"/>
          </w:tcPr>
          <w:p w14:paraId="3308DC6A" w14:textId="77777777" w:rsidR="001A774C" w:rsidRPr="00C052CF" w:rsidRDefault="001A774C" w:rsidP="003F7F93">
            <w:pPr>
              <w:pStyle w:val="CETBodytext"/>
              <w:rPr>
                <w:lang w:val="en-GB"/>
              </w:rPr>
            </w:pPr>
          </w:p>
        </w:tc>
        <w:tc>
          <w:tcPr>
            <w:tcW w:w="1134" w:type="dxa"/>
            <w:shd w:val="clear" w:color="auto" w:fill="FFFFFF"/>
          </w:tcPr>
          <w:p w14:paraId="75FCA87E" w14:textId="77777777" w:rsidR="001A774C" w:rsidRPr="00C052CF" w:rsidRDefault="001A774C" w:rsidP="003F7F93">
            <w:pPr>
              <w:pStyle w:val="CETBodytext"/>
              <w:rPr>
                <w:lang w:val="en-GB"/>
              </w:rPr>
            </w:pPr>
          </w:p>
        </w:tc>
        <w:tc>
          <w:tcPr>
            <w:tcW w:w="1134" w:type="dxa"/>
            <w:shd w:val="clear" w:color="auto" w:fill="FFFFFF"/>
          </w:tcPr>
          <w:p w14:paraId="78D8EFBE" w14:textId="77777777" w:rsidR="001A774C" w:rsidRPr="00C052CF" w:rsidRDefault="001A774C" w:rsidP="003F7F93">
            <w:pPr>
              <w:pStyle w:val="CETBodytext"/>
              <w:ind w:right="-1"/>
              <w:rPr>
                <w:rFonts w:cs="Arial"/>
                <w:szCs w:val="18"/>
                <w:lang w:val="en-GB"/>
              </w:rPr>
            </w:pPr>
          </w:p>
        </w:tc>
        <w:tc>
          <w:tcPr>
            <w:tcW w:w="1134" w:type="dxa"/>
            <w:shd w:val="clear" w:color="auto" w:fill="FFFFFF"/>
          </w:tcPr>
          <w:p w14:paraId="35724389" w14:textId="77777777" w:rsidR="001A774C" w:rsidRPr="00C052CF" w:rsidRDefault="001A774C" w:rsidP="003F7F93">
            <w:pPr>
              <w:pStyle w:val="CETBodytext"/>
              <w:ind w:right="-1"/>
              <w:rPr>
                <w:rFonts w:cs="Arial"/>
                <w:szCs w:val="18"/>
                <w:lang w:val="en-GB"/>
              </w:rPr>
            </w:pPr>
          </w:p>
        </w:tc>
        <w:tc>
          <w:tcPr>
            <w:tcW w:w="1151" w:type="dxa"/>
          </w:tcPr>
          <w:p w14:paraId="7B95ADD1" w14:textId="5364C6A7" w:rsidR="001A774C" w:rsidRPr="00C052CF" w:rsidRDefault="001A774C" w:rsidP="003F7F93">
            <w:pPr>
              <w:pStyle w:val="CETBodytext"/>
              <w:ind w:right="-1"/>
              <w:rPr>
                <w:rFonts w:cs="Arial"/>
                <w:szCs w:val="18"/>
                <w:lang w:val="en-GB"/>
              </w:rPr>
            </w:pPr>
            <w:r w:rsidRPr="00C052CF">
              <w:rPr>
                <w:rFonts w:cs="Arial"/>
                <w:b/>
                <w:bCs/>
                <w:i/>
                <w:iCs/>
                <w:szCs w:val="18"/>
                <w:lang w:val="en-GB"/>
              </w:rPr>
              <w:t>0.608</w:t>
            </w:r>
          </w:p>
        </w:tc>
        <w:tc>
          <w:tcPr>
            <w:tcW w:w="1134" w:type="dxa"/>
          </w:tcPr>
          <w:p w14:paraId="383A1CF8" w14:textId="757CDDB9" w:rsidR="001A774C" w:rsidRPr="00C052CF" w:rsidRDefault="001A774C" w:rsidP="003F7F93">
            <w:pPr>
              <w:pStyle w:val="CETBodytext"/>
              <w:ind w:right="-1"/>
              <w:rPr>
                <w:rFonts w:cs="Arial"/>
                <w:szCs w:val="18"/>
                <w:lang w:val="en-GB"/>
              </w:rPr>
            </w:pPr>
            <w:r w:rsidRPr="00C052CF">
              <w:rPr>
                <w:rFonts w:cs="Arial"/>
                <w:szCs w:val="18"/>
                <w:lang w:val="en-GB"/>
              </w:rPr>
              <w:t>0.558</w:t>
            </w:r>
          </w:p>
        </w:tc>
      </w:tr>
      <w:tr w:rsidR="001A774C" w:rsidRPr="00C052CF" w14:paraId="2B56EF5F" w14:textId="77777777" w:rsidTr="00135BEF">
        <w:tc>
          <w:tcPr>
            <w:tcW w:w="1701" w:type="dxa"/>
            <w:shd w:val="clear" w:color="auto" w:fill="FFFFFF"/>
          </w:tcPr>
          <w:p w14:paraId="1692C852" w14:textId="00987998" w:rsidR="001A774C" w:rsidRPr="00C052CF" w:rsidRDefault="001A774C" w:rsidP="003F7F93">
            <w:pPr>
              <w:pStyle w:val="CETBodytext"/>
              <w:rPr>
                <w:lang w:val="en-GB"/>
              </w:rPr>
            </w:pPr>
            <w:r w:rsidRPr="00C052CF">
              <w:rPr>
                <w:lang w:val="en-GB"/>
              </w:rPr>
              <w:t>Environmental sustainability</w:t>
            </w:r>
          </w:p>
        </w:tc>
        <w:tc>
          <w:tcPr>
            <w:tcW w:w="1134" w:type="dxa"/>
            <w:shd w:val="clear" w:color="auto" w:fill="FFFFFF"/>
          </w:tcPr>
          <w:p w14:paraId="181BBE25" w14:textId="77777777" w:rsidR="001A774C" w:rsidRPr="00C052CF" w:rsidRDefault="001A774C" w:rsidP="003F7F93">
            <w:pPr>
              <w:pStyle w:val="CETBodytext"/>
              <w:rPr>
                <w:lang w:val="en-GB"/>
              </w:rPr>
            </w:pPr>
          </w:p>
        </w:tc>
        <w:tc>
          <w:tcPr>
            <w:tcW w:w="1134" w:type="dxa"/>
            <w:shd w:val="clear" w:color="auto" w:fill="FFFFFF"/>
          </w:tcPr>
          <w:p w14:paraId="7B5A486F" w14:textId="77777777" w:rsidR="001A774C" w:rsidRPr="00C052CF" w:rsidRDefault="001A774C" w:rsidP="003F7F93">
            <w:pPr>
              <w:pStyle w:val="CETBodytext"/>
              <w:rPr>
                <w:lang w:val="en-GB"/>
              </w:rPr>
            </w:pPr>
          </w:p>
        </w:tc>
        <w:tc>
          <w:tcPr>
            <w:tcW w:w="1134" w:type="dxa"/>
            <w:shd w:val="clear" w:color="auto" w:fill="FFFFFF"/>
          </w:tcPr>
          <w:p w14:paraId="5199D6F7" w14:textId="77777777" w:rsidR="001A774C" w:rsidRPr="00C052CF" w:rsidRDefault="001A774C" w:rsidP="003F7F93">
            <w:pPr>
              <w:pStyle w:val="CETBodytext"/>
              <w:ind w:right="-1"/>
              <w:rPr>
                <w:rFonts w:cs="Arial"/>
                <w:szCs w:val="18"/>
                <w:lang w:val="en-GB"/>
              </w:rPr>
            </w:pPr>
          </w:p>
        </w:tc>
        <w:tc>
          <w:tcPr>
            <w:tcW w:w="1134" w:type="dxa"/>
            <w:shd w:val="clear" w:color="auto" w:fill="FFFFFF"/>
          </w:tcPr>
          <w:p w14:paraId="15D89953" w14:textId="77777777" w:rsidR="001A774C" w:rsidRPr="00C052CF" w:rsidRDefault="001A774C" w:rsidP="003F7F93">
            <w:pPr>
              <w:pStyle w:val="CETBodytext"/>
              <w:ind w:right="-1"/>
              <w:rPr>
                <w:rFonts w:cs="Arial"/>
                <w:szCs w:val="18"/>
                <w:lang w:val="en-GB"/>
              </w:rPr>
            </w:pPr>
          </w:p>
        </w:tc>
        <w:tc>
          <w:tcPr>
            <w:tcW w:w="1151" w:type="dxa"/>
          </w:tcPr>
          <w:p w14:paraId="317EC598" w14:textId="77777777" w:rsidR="001A774C" w:rsidRPr="00C052CF" w:rsidRDefault="001A774C" w:rsidP="003F7F93">
            <w:pPr>
              <w:pStyle w:val="CETBodytext"/>
              <w:ind w:right="-1"/>
              <w:rPr>
                <w:rFonts w:cs="Arial"/>
                <w:szCs w:val="18"/>
                <w:lang w:val="en-GB"/>
              </w:rPr>
            </w:pPr>
          </w:p>
        </w:tc>
        <w:tc>
          <w:tcPr>
            <w:tcW w:w="1134" w:type="dxa"/>
          </w:tcPr>
          <w:p w14:paraId="676F13C9" w14:textId="6E9404FF" w:rsidR="001A774C" w:rsidRPr="00C052CF" w:rsidRDefault="001A774C" w:rsidP="003F7F93">
            <w:pPr>
              <w:pStyle w:val="CETBodytext"/>
              <w:ind w:right="-1"/>
              <w:rPr>
                <w:rFonts w:cs="Arial"/>
                <w:szCs w:val="18"/>
                <w:lang w:val="en-GB"/>
              </w:rPr>
            </w:pPr>
            <w:r w:rsidRPr="00C052CF">
              <w:rPr>
                <w:rFonts w:cs="Arial"/>
                <w:szCs w:val="18"/>
                <w:lang w:val="en-GB"/>
              </w:rPr>
              <w:t>0.595</w:t>
            </w:r>
          </w:p>
        </w:tc>
      </w:tr>
      <w:tr w:rsidR="001A774C" w:rsidRPr="00C052CF" w14:paraId="383AF426" w14:textId="77777777" w:rsidTr="00135BEF">
        <w:tc>
          <w:tcPr>
            <w:tcW w:w="1701" w:type="dxa"/>
            <w:shd w:val="clear" w:color="auto" w:fill="FFFFFF"/>
          </w:tcPr>
          <w:p w14:paraId="74D2AF7B" w14:textId="0E494E5F" w:rsidR="001A774C" w:rsidRPr="00C052CF" w:rsidRDefault="001A774C" w:rsidP="003F7F93">
            <w:pPr>
              <w:pStyle w:val="CETBodytext"/>
              <w:rPr>
                <w:lang w:val="en-GB"/>
              </w:rPr>
            </w:pPr>
            <w:r w:rsidRPr="00C052CF">
              <w:rPr>
                <w:lang w:val="en-GB"/>
              </w:rPr>
              <w:t>People excellence</w:t>
            </w:r>
          </w:p>
        </w:tc>
        <w:tc>
          <w:tcPr>
            <w:tcW w:w="1134" w:type="dxa"/>
            <w:shd w:val="clear" w:color="auto" w:fill="FFFFFF"/>
          </w:tcPr>
          <w:p w14:paraId="51A2F586" w14:textId="77777777" w:rsidR="001A774C" w:rsidRPr="00C052CF" w:rsidRDefault="001A774C" w:rsidP="003F7F93">
            <w:pPr>
              <w:pStyle w:val="CETBodytext"/>
              <w:rPr>
                <w:lang w:val="en-GB"/>
              </w:rPr>
            </w:pPr>
          </w:p>
        </w:tc>
        <w:tc>
          <w:tcPr>
            <w:tcW w:w="1134" w:type="dxa"/>
            <w:shd w:val="clear" w:color="auto" w:fill="FFFFFF"/>
          </w:tcPr>
          <w:p w14:paraId="73B1E89F" w14:textId="77777777" w:rsidR="001A774C" w:rsidRPr="00C052CF" w:rsidRDefault="001A774C" w:rsidP="003F7F93">
            <w:pPr>
              <w:pStyle w:val="CETBodytext"/>
              <w:rPr>
                <w:lang w:val="en-GB"/>
              </w:rPr>
            </w:pPr>
          </w:p>
        </w:tc>
        <w:tc>
          <w:tcPr>
            <w:tcW w:w="1134" w:type="dxa"/>
            <w:shd w:val="clear" w:color="auto" w:fill="FFFFFF"/>
          </w:tcPr>
          <w:p w14:paraId="0B361EE4" w14:textId="77777777" w:rsidR="001A774C" w:rsidRPr="00C052CF" w:rsidRDefault="001A774C" w:rsidP="003F7F93">
            <w:pPr>
              <w:pStyle w:val="CETBodytext"/>
              <w:ind w:right="-1"/>
              <w:rPr>
                <w:rFonts w:cs="Arial"/>
                <w:szCs w:val="18"/>
                <w:lang w:val="en-GB"/>
              </w:rPr>
            </w:pPr>
          </w:p>
        </w:tc>
        <w:tc>
          <w:tcPr>
            <w:tcW w:w="1134" w:type="dxa"/>
            <w:shd w:val="clear" w:color="auto" w:fill="FFFFFF"/>
          </w:tcPr>
          <w:p w14:paraId="364BBF82" w14:textId="77777777" w:rsidR="001A774C" w:rsidRPr="00C052CF" w:rsidRDefault="001A774C" w:rsidP="003F7F93">
            <w:pPr>
              <w:pStyle w:val="CETBodytext"/>
              <w:ind w:right="-1"/>
              <w:rPr>
                <w:rFonts w:cs="Arial"/>
                <w:szCs w:val="18"/>
                <w:lang w:val="en-GB"/>
              </w:rPr>
            </w:pPr>
          </w:p>
        </w:tc>
        <w:tc>
          <w:tcPr>
            <w:tcW w:w="1151" w:type="dxa"/>
          </w:tcPr>
          <w:p w14:paraId="12FEBE4A" w14:textId="77777777" w:rsidR="001A774C" w:rsidRPr="00C052CF" w:rsidRDefault="001A774C" w:rsidP="003F7F93">
            <w:pPr>
              <w:pStyle w:val="CETBodytext"/>
              <w:ind w:right="-1"/>
              <w:rPr>
                <w:rFonts w:cs="Arial"/>
                <w:szCs w:val="18"/>
                <w:lang w:val="en-GB"/>
              </w:rPr>
            </w:pPr>
          </w:p>
        </w:tc>
        <w:tc>
          <w:tcPr>
            <w:tcW w:w="1134" w:type="dxa"/>
          </w:tcPr>
          <w:p w14:paraId="51D6CB1D" w14:textId="77777777" w:rsidR="001A774C" w:rsidRPr="00C052CF" w:rsidRDefault="001A774C" w:rsidP="003F7F93">
            <w:pPr>
              <w:pStyle w:val="CETBodytext"/>
              <w:ind w:right="-1"/>
              <w:rPr>
                <w:rFonts w:cs="Arial"/>
                <w:szCs w:val="18"/>
                <w:lang w:val="en-GB"/>
              </w:rPr>
            </w:pPr>
          </w:p>
        </w:tc>
      </w:tr>
    </w:tbl>
    <w:p w14:paraId="2DB2ED11" w14:textId="18205B78" w:rsidR="00AC0A42" w:rsidRPr="00C052CF" w:rsidRDefault="00CF4B67" w:rsidP="00600535">
      <w:pPr>
        <w:pStyle w:val="CETBodytext"/>
      </w:pPr>
      <w:r w:rsidRPr="00C052CF">
        <w:rPr>
          <w:lang w:val="en-GB"/>
        </w:rPr>
        <w:t xml:space="preserve">Looking at the </w:t>
      </w:r>
      <w:r w:rsidR="00052B9A" w:rsidRPr="00C052CF">
        <w:rPr>
          <w:lang w:val="en-GB"/>
        </w:rPr>
        <w:t>strong/very strong</w:t>
      </w:r>
      <w:r w:rsidRPr="00C052CF">
        <w:rPr>
          <w:lang w:val="en-GB"/>
        </w:rPr>
        <w:t xml:space="preserve"> relationships</w:t>
      </w:r>
      <w:r w:rsidR="00052B9A" w:rsidRPr="00C052CF">
        <w:rPr>
          <w:lang w:val="en-GB"/>
        </w:rPr>
        <w:t xml:space="preserve"> (</w:t>
      </w:r>
      <w:r w:rsidR="00052B9A" w:rsidRPr="00C052CF">
        <w:rPr>
          <w:i/>
          <w:iCs/>
          <w:lang w:val="en-GB"/>
        </w:rPr>
        <w:t>r</w:t>
      </w:r>
      <w:r w:rsidR="00052B9A" w:rsidRPr="00C052CF">
        <w:rPr>
          <w:rFonts w:cs="Arial"/>
          <w:lang w:val="en-GB"/>
        </w:rPr>
        <w:t>≥</w:t>
      </w:r>
      <w:r w:rsidR="00052B9A" w:rsidRPr="00C052CF">
        <w:rPr>
          <w:lang w:val="en-GB"/>
        </w:rPr>
        <w:t>0.6)</w:t>
      </w:r>
      <w:r w:rsidRPr="00C052CF">
        <w:rPr>
          <w:lang w:val="en-GB"/>
        </w:rPr>
        <w:t xml:space="preserve">, from Table 2 </w:t>
      </w:r>
      <w:r w:rsidR="002B14E8" w:rsidRPr="00C052CF">
        <w:rPr>
          <w:lang w:val="en-GB"/>
        </w:rPr>
        <w:t xml:space="preserve">it is evident that high performance in </w:t>
      </w:r>
      <w:r w:rsidR="002B14E8" w:rsidRPr="00C052CF">
        <w:rPr>
          <w:i/>
          <w:iCs/>
          <w:lang w:val="en-GB"/>
        </w:rPr>
        <w:t>Safety compliance</w:t>
      </w:r>
      <w:r w:rsidR="002B14E8" w:rsidRPr="00C052CF">
        <w:rPr>
          <w:lang w:val="en-GB"/>
        </w:rPr>
        <w:t xml:space="preserve"> and </w:t>
      </w:r>
      <w:r w:rsidR="002B14E8" w:rsidRPr="00C052CF">
        <w:rPr>
          <w:i/>
          <w:iCs/>
          <w:lang w:val="en-GB"/>
        </w:rPr>
        <w:t>Safety participation</w:t>
      </w:r>
      <w:r w:rsidR="002B14E8" w:rsidRPr="00C052CF">
        <w:rPr>
          <w:lang w:val="en-GB"/>
        </w:rPr>
        <w:t xml:space="preserve"> tend to coexist with strong lean practices; </w:t>
      </w:r>
      <w:r w:rsidR="002B14E8" w:rsidRPr="00C052CF">
        <w:rPr>
          <w:i/>
          <w:iCs/>
          <w:lang w:val="en-GB"/>
        </w:rPr>
        <w:t>People excellence</w:t>
      </w:r>
      <w:r w:rsidR="002B14E8" w:rsidRPr="00C052CF">
        <w:rPr>
          <w:lang w:val="en-GB"/>
        </w:rPr>
        <w:t xml:space="preserve"> and </w:t>
      </w:r>
      <w:r w:rsidR="002B14E8" w:rsidRPr="00C052CF">
        <w:rPr>
          <w:i/>
          <w:iCs/>
          <w:lang w:val="en-GB"/>
        </w:rPr>
        <w:lastRenderedPageBreak/>
        <w:t>Ergonomics</w:t>
      </w:r>
      <w:r w:rsidR="002B14E8" w:rsidRPr="00C052CF">
        <w:rPr>
          <w:lang w:val="en-GB"/>
        </w:rPr>
        <w:t xml:space="preserve"> show close alignment with both safety and </w:t>
      </w:r>
      <w:r w:rsidR="0045226D" w:rsidRPr="00C052CF">
        <w:rPr>
          <w:i/>
          <w:iCs/>
          <w:lang w:val="en-GB"/>
        </w:rPr>
        <w:t>Environmental sustainability</w:t>
      </w:r>
      <w:r w:rsidR="0045226D" w:rsidRPr="00C052CF">
        <w:rPr>
          <w:lang w:val="en-GB"/>
        </w:rPr>
        <w:t xml:space="preserve">, and this latter </w:t>
      </w:r>
      <w:r w:rsidR="002B14E8" w:rsidRPr="00C052CF">
        <w:rPr>
          <w:lang w:val="en-GB"/>
        </w:rPr>
        <w:t xml:space="preserve">emerges as a transversal dimension linked to </w:t>
      </w:r>
      <w:r w:rsidR="0045226D" w:rsidRPr="00C052CF">
        <w:rPr>
          <w:lang w:val="en-GB"/>
        </w:rPr>
        <w:t>a wide set of perspectives</w:t>
      </w:r>
      <w:r w:rsidR="002B14E8" w:rsidRPr="00C052CF">
        <w:rPr>
          <w:lang w:val="en-GB"/>
        </w:rPr>
        <w:t>.</w:t>
      </w:r>
      <w:r w:rsidR="00226AE6" w:rsidRPr="00C052CF">
        <w:rPr>
          <w:lang w:val="en-GB"/>
        </w:rPr>
        <w:t xml:space="preserve"> A very</w:t>
      </w:r>
      <w:r w:rsidR="002B14E8" w:rsidRPr="00C052CF">
        <w:rPr>
          <w:lang w:val="en-GB"/>
        </w:rPr>
        <w:t xml:space="preserve"> </w:t>
      </w:r>
      <w:r w:rsidR="00D36CCC" w:rsidRPr="00C052CF">
        <w:t>strong correlation (</w:t>
      </w:r>
      <w:r w:rsidR="00B22EB4" w:rsidRPr="00C052CF">
        <w:rPr>
          <w:i/>
          <w:iCs/>
        </w:rPr>
        <w:t>r</w:t>
      </w:r>
      <w:r w:rsidR="00B22EB4" w:rsidRPr="00C052CF">
        <w:t>=</w:t>
      </w:r>
      <w:r w:rsidR="00D36CCC" w:rsidRPr="00C052CF">
        <w:t xml:space="preserve">0.736) is </w:t>
      </w:r>
      <w:r w:rsidR="002B14E8" w:rsidRPr="00C052CF">
        <w:t xml:space="preserve">observed </w:t>
      </w:r>
      <w:r w:rsidR="004A60FC" w:rsidRPr="00C052CF">
        <w:t xml:space="preserve">between </w:t>
      </w:r>
      <w:r w:rsidR="004A60FC" w:rsidRPr="00C052CF">
        <w:rPr>
          <w:i/>
          <w:iCs/>
        </w:rPr>
        <w:t xml:space="preserve">People </w:t>
      </w:r>
      <w:r w:rsidR="00121996" w:rsidRPr="00C052CF">
        <w:rPr>
          <w:i/>
          <w:iCs/>
        </w:rPr>
        <w:t>excellence</w:t>
      </w:r>
      <w:r w:rsidR="004A60FC" w:rsidRPr="00C052CF">
        <w:t xml:space="preserve"> and </w:t>
      </w:r>
      <w:r w:rsidR="004A60FC" w:rsidRPr="00C052CF">
        <w:rPr>
          <w:i/>
          <w:iCs/>
        </w:rPr>
        <w:t>Lean thinking</w:t>
      </w:r>
      <w:r w:rsidR="00267A3F" w:rsidRPr="00C052CF">
        <w:t>.</w:t>
      </w:r>
      <w:r w:rsidR="00495244" w:rsidRPr="00C052CF">
        <w:t xml:space="preserve"> </w:t>
      </w:r>
      <w:r w:rsidR="00E42698" w:rsidRPr="00C052CF">
        <w:rPr>
          <w:lang w:val="en-GB"/>
        </w:rPr>
        <w:t>This result is consistent with the literature</w:t>
      </w:r>
      <w:r w:rsidR="00226AE6" w:rsidRPr="00C052CF">
        <w:rPr>
          <w:lang w:val="en-GB"/>
        </w:rPr>
        <w:t xml:space="preserve">, which has suggested </w:t>
      </w:r>
      <w:r w:rsidR="00E42698" w:rsidRPr="00C052CF">
        <w:rPr>
          <w:lang w:val="en-GB"/>
        </w:rPr>
        <w:t xml:space="preserve">lean management as a foundational pillar of </w:t>
      </w:r>
      <w:r w:rsidR="000B7597" w:rsidRPr="00C052CF">
        <w:rPr>
          <w:lang w:val="en-GB"/>
        </w:rPr>
        <w:t>OE</w:t>
      </w:r>
      <w:r w:rsidR="00E42698" w:rsidRPr="00C052CF">
        <w:rPr>
          <w:lang w:val="en-GB"/>
        </w:rPr>
        <w:t xml:space="preserve">, strongly grounded in people-oriented practices. </w:t>
      </w:r>
      <w:r w:rsidR="00DC0204" w:rsidRPr="00C052CF">
        <w:rPr>
          <w:lang w:val="en-GB"/>
        </w:rPr>
        <w:t>L</w:t>
      </w:r>
      <w:r w:rsidR="00E42698" w:rsidRPr="00C052CF">
        <w:rPr>
          <w:lang w:val="en-GB"/>
        </w:rPr>
        <w:t xml:space="preserve">ean systems rely on employee empowerment, skills development, leadership, and organizational culture to sustain continuous improvement. Accordingly, </w:t>
      </w:r>
      <w:r w:rsidR="008529AA" w:rsidRPr="00C052CF">
        <w:rPr>
          <w:i/>
          <w:iCs/>
          <w:lang w:val="en-GB"/>
        </w:rPr>
        <w:t>P</w:t>
      </w:r>
      <w:r w:rsidR="00E42698" w:rsidRPr="00C052CF">
        <w:rPr>
          <w:i/>
          <w:iCs/>
          <w:lang w:val="en-GB"/>
        </w:rPr>
        <w:t>eople excellence</w:t>
      </w:r>
      <w:r w:rsidR="00E42698" w:rsidRPr="00C052CF">
        <w:rPr>
          <w:lang w:val="en-GB"/>
        </w:rPr>
        <w:t xml:space="preserve"> emerges as a key enabling condition for the effective adoption and long-term sustainability of </w:t>
      </w:r>
      <w:r w:rsidR="008529AA" w:rsidRPr="00C052CF">
        <w:rPr>
          <w:i/>
          <w:iCs/>
          <w:lang w:val="en-GB"/>
        </w:rPr>
        <w:t>L</w:t>
      </w:r>
      <w:r w:rsidR="00E42698" w:rsidRPr="00C052CF">
        <w:rPr>
          <w:i/>
          <w:iCs/>
          <w:lang w:val="en-GB"/>
        </w:rPr>
        <w:t>ean thinking</w:t>
      </w:r>
      <w:r w:rsidR="00E42698" w:rsidRPr="00C052CF">
        <w:rPr>
          <w:lang w:val="en-GB"/>
        </w:rPr>
        <w:t>, in line with prior empirical evidence highlighting the critical role of soft lean practices (Bortolotti et al., 2015)</w:t>
      </w:r>
      <w:r w:rsidR="00730786" w:rsidRPr="00C052CF">
        <w:t xml:space="preserve">. </w:t>
      </w:r>
      <w:r w:rsidR="001B577B" w:rsidRPr="00C052CF">
        <w:rPr>
          <w:lang w:val="en-GB"/>
        </w:rPr>
        <w:t xml:space="preserve">Both </w:t>
      </w:r>
      <w:r w:rsidR="001B577B" w:rsidRPr="00C052CF">
        <w:rPr>
          <w:i/>
          <w:iCs/>
          <w:lang w:val="en-GB"/>
        </w:rPr>
        <w:t>People excellence</w:t>
      </w:r>
      <w:r w:rsidR="001B577B" w:rsidRPr="00C052CF">
        <w:rPr>
          <w:lang w:val="en-GB"/>
        </w:rPr>
        <w:t xml:space="preserve"> and </w:t>
      </w:r>
      <w:r w:rsidR="001B577B" w:rsidRPr="00C052CF">
        <w:rPr>
          <w:i/>
          <w:iCs/>
          <w:lang w:val="en-GB"/>
        </w:rPr>
        <w:t>Lean thinking</w:t>
      </w:r>
      <w:r w:rsidR="001B577B" w:rsidRPr="00C052CF">
        <w:rPr>
          <w:lang w:val="en-GB"/>
        </w:rPr>
        <w:t xml:space="preserve"> </w:t>
      </w:r>
      <w:r w:rsidR="008529AA" w:rsidRPr="00C052CF">
        <w:rPr>
          <w:lang w:val="en-GB"/>
        </w:rPr>
        <w:t xml:space="preserve">also </w:t>
      </w:r>
      <w:r w:rsidR="001B577B" w:rsidRPr="00C052CF">
        <w:rPr>
          <w:lang w:val="en-GB"/>
        </w:rPr>
        <w:t xml:space="preserve">aim to enhance business performance, increase customer value, and reduce waste. </w:t>
      </w:r>
      <w:r w:rsidR="00406390" w:rsidRPr="00C052CF">
        <w:rPr>
          <w:lang w:val="en-GB"/>
        </w:rPr>
        <w:t xml:space="preserve">In this respect, </w:t>
      </w:r>
      <w:r w:rsidR="001B577B" w:rsidRPr="00C052CF">
        <w:rPr>
          <w:lang w:val="en-GB"/>
        </w:rPr>
        <w:t xml:space="preserve">the results </w:t>
      </w:r>
      <w:r w:rsidR="00406390" w:rsidRPr="00C052CF">
        <w:rPr>
          <w:lang w:val="en-GB"/>
        </w:rPr>
        <w:t xml:space="preserve">in </w:t>
      </w:r>
      <w:r w:rsidR="001B577B" w:rsidRPr="00C052CF">
        <w:rPr>
          <w:lang w:val="en-GB"/>
        </w:rPr>
        <w:t xml:space="preserve">Table </w:t>
      </w:r>
      <w:r w:rsidR="00406390" w:rsidRPr="00C052CF">
        <w:rPr>
          <w:lang w:val="en-GB"/>
        </w:rPr>
        <w:t>2</w:t>
      </w:r>
      <w:r w:rsidR="001B577B" w:rsidRPr="00C052CF">
        <w:rPr>
          <w:lang w:val="en-GB"/>
        </w:rPr>
        <w:t xml:space="preserve"> reveal a strong correlation between </w:t>
      </w:r>
      <w:r w:rsidR="00406390" w:rsidRPr="00C052CF">
        <w:rPr>
          <w:i/>
          <w:iCs/>
          <w:lang w:val="en-GB"/>
        </w:rPr>
        <w:t>L</w:t>
      </w:r>
      <w:r w:rsidR="001B577B" w:rsidRPr="00C052CF">
        <w:rPr>
          <w:i/>
          <w:iCs/>
          <w:lang w:val="en-GB"/>
        </w:rPr>
        <w:t>ean thinking</w:t>
      </w:r>
      <w:r w:rsidR="001B577B" w:rsidRPr="00C052CF">
        <w:rPr>
          <w:lang w:val="en-GB"/>
        </w:rPr>
        <w:t xml:space="preserve"> and </w:t>
      </w:r>
      <w:r w:rsidR="00406390" w:rsidRPr="00C052CF">
        <w:rPr>
          <w:i/>
          <w:iCs/>
          <w:lang w:val="en-GB"/>
        </w:rPr>
        <w:t>S</w:t>
      </w:r>
      <w:r w:rsidR="001B577B" w:rsidRPr="00C052CF">
        <w:rPr>
          <w:i/>
          <w:iCs/>
          <w:lang w:val="en-GB"/>
        </w:rPr>
        <w:t>afety compliance</w:t>
      </w:r>
      <w:r w:rsidR="001B577B" w:rsidRPr="00C052CF">
        <w:rPr>
          <w:lang w:val="en-GB"/>
        </w:rPr>
        <w:t xml:space="preserve"> (</w:t>
      </w:r>
      <w:r w:rsidR="001B577B" w:rsidRPr="00C052CF">
        <w:rPr>
          <w:i/>
          <w:iCs/>
          <w:lang w:val="en-GB"/>
        </w:rPr>
        <w:t>r</w:t>
      </w:r>
      <w:r w:rsidR="001B577B" w:rsidRPr="00C052CF">
        <w:rPr>
          <w:lang w:val="en-GB"/>
        </w:rPr>
        <w:t>=0.703)</w:t>
      </w:r>
      <w:r w:rsidR="00254214" w:rsidRPr="00C052CF">
        <w:rPr>
          <w:lang w:val="en-GB"/>
        </w:rPr>
        <w:t xml:space="preserve">; this </w:t>
      </w:r>
      <w:r w:rsidR="001B577B" w:rsidRPr="00C052CF">
        <w:rPr>
          <w:lang w:val="en-GB"/>
        </w:rPr>
        <w:t xml:space="preserve">confirm that lean </w:t>
      </w:r>
      <w:r w:rsidR="00254214" w:rsidRPr="00C052CF">
        <w:rPr>
          <w:lang w:val="en-GB"/>
        </w:rPr>
        <w:t xml:space="preserve">and safety management </w:t>
      </w:r>
      <w:r w:rsidR="001B577B" w:rsidRPr="00C052CF">
        <w:rPr>
          <w:lang w:val="en-GB"/>
        </w:rPr>
        <w:t>are not separate initiatives but rather, they are mutually reinforcing</w:t>
      </w:r>
      <w:r w:rsidR="0093148C" w:rsidRPr="00C052CF">
        <w:rPr>
          <w:lang w:val="en-GB"/>
        </w:rPr>
        <w:t>. L</w:t>
      </w:r>
      <w:r w:rsidR="001B577B" w:rsidRPr="00C052CF">
        <w:rPr>
          <w:lang w:val="en-GB"/>
        </w:rPr>
        <w:t>ean principles</w:t>
      </w:r>
      <w:r w:rsidR="0093148C" w:rsidRPr="00C052CF">
        <w:rPr>
          <w:lang w:val="en-GB"/>
        </w:rPr>
        <w:t xml:space="preserve">, </w:t>
      </w:r>
      <w:r w:rsidR="001B577B" w:rsidRPr="00C052CF">
        <w:rPr>
          <w:lang w:val="en-GB"/>
        </w:rPr>
        <w:t>such as waste reduction, process efficiency, and continuous improvement</w:t>
      </w:r>
      <w:r w:rsidR="0093148C" w:rsidRPr="00C052CF">
        <w:rPr>
          <w:lang w:val="en-GB"/>
        </w:rPr>
        <w:t xml:space="preserve">, </w:t>
      </w:r>
      <w:r w:rsidR="001B577B" w:rsidRPr="00C052CF">
        <w:rPr>
          <w:lang w:val="en-GB"/>
        </w:rPr>
        <w:t xml:space="preserve">naturally support adherence to safety protocols. In line with prior research, integrating lean and safety practices fosters a proactive safety culture in which safety is embedded within operational processes, rather than treated as an ancillary or reactive measure (Hasle et al., 2012). The evidence suggests that organizations pursuing </w:t>
      </w:r>
      <w:r w:rsidR="00AA6696" w:rsidRPr="00C052CF">
        <w:rPr>
          <w:lang w:val="en-GB"/>
        </w:rPr>
        <w:t xml:space="preserve">OE </w:t>
      </w:r>
      <w:r w:rsidR="001B577B" w:rsidRPr="00C052CF">
        <w:rPr>
          <w:lang w:val="en-GB"/>
        </w:rPr>
        <w:t>should consider lean and safety initiatives as intertwined, with employee engagement and process standardization acting as key enablers.</w:t>
      </w:r>
      <w:r w:rsidR="00C54AE4" w:rsidRPr="00C052CF">
        <w:rPr>
          <w:lang w:val="en-GB"/>
        </w:rPr>
        <w:t xml:space="preserve"> </w:t>
      </w:r>
      <w:r w:rsidR="001C0F09" w:rsidRPr="00C052CF">
        <w:t xml:space="preserve">Further high </w:t>
      </w:r>
      <w:r w:rsidR="00200A7A" w:rsidRPr="00C052CF">
        <w:t xml:space="preserve">correlations </w:t>
      </w:r>
      <w:r w:rsidR="00A007EE" w:rsidRPr="00C052CF">
        <w:t>are</w:t>
      </w:r>
      <w:r w:rsidR="00200A7A" w:rsidRPr="00C052CF">
        <w:t xml:space="preserve"> observed between </w:t>
      </w:r>
      <w:r w:rsidR="00950D62" w:rsidRPr="00C052CF">
        <w:rPr>
          <w:i/>
          <w:iCs/>
        </w:rPr>
        <w:t>Environmental sustainability</w:t>
      </w:r>
      <w:r w:rsidR="00950D62" w:rsidRPr="00C052CF">
        <w:t xml:space="preserve"> and</w:t>
      </w:r>
      <w:r w:rsidR="003D07B6" w:rsidRPr="00C052CF">
        <w:t xml:space="preserve"> three perspectives</w:t>
      </w:r>
      <w:r w:rsidR="004C54A3" w:rsidRPr="00C052CF">
        <w:t xml:space="preserve">, namely </w:t>
      </w:r>
      <w:r w:rsidR="00950D62" w:rsidRPr="00C052CF">
        <w:rPr>
          <w:i/>
          <w:iCs/>
        </w:rPr>
        <w:t>Safety participation</w:t>
      </w:r>
      <w:r w:rsidR="00950D62" w:rsidRPr="00C052CF">
        <w:t xml:space="preserve"> (</w:t>
      </w:r>
      <w:r w:rsidR="004C54A3" w:rsidRPr="00C052CF">
        <w:rPr>
          <w:i/>
          <w:iCs/>
        </w:rPr>
        <w:t>r</w:t>
      </w:r>
      <w:r w:rsidR="004C54A3" w:rsidRPr="00C052CF">
        <w:t>=</w:t>
      </w:r>
      <w:r w:rsidR="00A007EE" w:rsidRPr="00C052CF">
        <w:t xml:space="preserve">0.696), </w:t>
      </w:r>
      <w:r w:rsidR="00A007EE" w:rsidRPr="00C052CF">
        <w:rPr>
          <w:i/>
          <w:iCs/>
        </w:rPr>
        <w:t>Lean thinking</w:t>
      </w:r>
      <w:r w:rsidR="00A007EE" w:rsidRPr="00C052CF">
        <w:t xml:space="preserve"> (</w:t>
      </w:r>
      <w:r w:rsidR="004C54A3" w:rsidRPr="00C052CF">
        <w:rPr>
          <w:i/>
          <w:iCs/>
        </w:rPr>
        <w:t>r</w:t>
      </w:r>
      <w:r w:rsidR="004C54A3" w:rsidRPr="00C052CF">
        <w:t>=</w:t>
      </w:r>
      <w:r w:rsidR="00A007EE" w:rsidRPr="00C052CF">
        <w:t xml:space="preserve">0.676) and </w:t>
      </w:r>
      <w:r w:rsidR="00A007EE" w:rsidRPr="00C052CF">
        <w:rPr>
          <w:i/>
          <w:iCs/>
        </w:rPr>
        <w:t>Safety compliance</w:t>
      </w:r>
      <w:r w:rsidR="00A007EE" w:rsidRPr="00C052CF">
        <w:t xml:space="preserve"> (</w:t>
      </w:r>
      <w:r w:rsidR="004C54A3" w:rsidRPr="00C052CF">
        <w:rPr>
          <w:i/>
          <w:iCs/>
        </w:rPr>
        <w:t>r</w:t>
      </w:r>
      <w:r w:rsidR="004C54A3" w:rsidRPr="00C052CF">
        <w:t>=</w:t>
      </w:r>
      <w:r w:rsidR="00A007EE" w:rsidRPr="00C052CF">
        <w:t>0.608), respectively.</w:t>
      </w:r>
      <w:r w:rsidR="00874AEA" w:rsidRPr="00C052CF">
        <w:t xml:space="preserve"> </w:t>
      </w:r>
      <w:r w:rsidR="006E25FA" w:rsidRPr="00C052CF">
        <w:t>Th</w:t>
      </w:r>
      <w:r w:rsidR="00341BE0" w:rsidRPr="00C052CF">
        <w:t xml:space="preserve">is set of </w:t>
      </w:r>
      <w:r w:rsidR="006E25FA" w:rsidRPr="00C052CF">
        <w:t>strong correlations suggest</w:t>
      </w:r>
      <w:r w:rsidR="00341BE0" w:rsidRPr="00C052CF">
        <w:t>s</w:t>
      </w:r>
      <w:r w:rsidR="006E25FA" w:rsidRPr="00C052CF">
        <w:t xml:space="preserve"> that sustainability is deeply embedded within broader </w:t>
      </w:r>
      <w:r w:rsidR="00A25973" w:rsidRPr="00C052CF">
        <w:t xml:space="preserve">OE </w:t>
      </w:r>
      <w:r w:rsidR="006E25FA" w:rsidRPr="00C052CF">
        <w:t>practices rather than being pursued as an isolated objective. This evidence aligns with prior studies highlighting how lean thinking, through waste reduction, process standardization, and continuous improvement, can simultaneously enhance safety performance and environmental outcomes (</w:t>
      </w:r>
      <w:r w:rsidR="00D909F4" w:rsidRPr="00C052CF">
        <w:rPr>
          <w:lang w:val="en-GB"/>
        </w:rPr>
        <w:t>Hajmohammad et al., 2013</w:t>
      </w:r>
      <w:r w:rsidR="006E25FA" w:rsidRPr="00C052CF">
        <w:t xml:space="preserve">). </w:t>
      </w:r>
      <w:r w:rsidR="00AD61A2" w:rsidRPr="00C052CF">
        <w:t xml:space="preserve">Another strong correlation is observed between </w:t>
      </w:r>
      <w:r w:rsidR="00AD61A2" w:rsidRPr="00C052CF">
        <w:rPr>
          <w:i/>
          <w:iCs/>
        </w:rPr>
        <w:t>Lean thinking</w:t>
      </w:r>
      <w:r w:rsidR="00AD61A2" w:rsidRPr="00C052CF">
        <w:t xml:space="preserve"> and </w:t>
      </w:r>
      <w:r w:rsidR="00AD61A2" w:rsidRPr="00C052CF">
        <w:rPr>
          <w:i/>
          <w:iCs/>
        </w:rPr>
        <w:t>Safety participation</w:t>
      </w:r>
      <w:r w:rsidR="00AD61A2" w:rsidRPr="00C052CF">
        <w:t xml:space="preserve"> (</w:t>
      </w:r>
      <w:r w:rsidR="00AD61A2" w:rsidRPr="00C052CF">
        <w:rPr>
          <w:i/>
          <w:iCs/>
        </w:rPr>
        <w:t>r</w:t>
      </w:r>
      <w:r w:rsidR="00AD61A2" w:rsidRPr="00C052CF">
        <w:t>=0.663)</w:t>
      </w:r>
      <w:r w:rsidR="00CC67ED" w:rsidRPr="00C052CF">
        <w:t xml:space="preserve">, which </w:t>
      </w:r>
      <w:r w:rsidR="006E25FA" w:rsidRPr="00C052CF">
        <w:t>reinforces the role of employee involvement as a key enabling factor for both safe working behaviors and continuous improvement initiatives. In this perspective, environmental sustainability emerges as a transversal organizational dimension, coherently integrated with operational and safety-oriented practices, as also suggested in the operations and sustainability literature (Pagell &amp; Gobeli, 2009).</w:t>
      </w:r>
      <w:r w:rsidR="009D5E8C" w:rsidRPr="00C052CF">
        <w:t xml:space="preserve"> </w:t>
      </w:r>
      <w:r w:rsidR="003E1D74" w:rsidRPr="00C052CF">
        <w:t>In summary, w</w:t>
      </w:r>
      <w:r w:rsidR="00AC0A42" w:rsidRPr="00C052CF">
        <w:t>ithin the lean philosophy, expenditures of time and financial resources associated with accidents and workers’ compensation are classified as waste and should therefore be avoided. Consequently, both lean and safety initiatives share the common objective of reducing accidents and minimizing workplace hazards</w:t>
      </w:r>
      <w:r w:rsidR="00426481" w:rsidRPr="00C052CF">
        <w:t xml:space="preserve"> (Cudney et al., 2015)</w:t>
      </w:r>
      <w:r w:rsidR="00AC0A42" w:rsidRPr="00C052CF">
        <w:t>.</w:t>
      </w:r>
    </w:p>
    <w:p w14:paraId="69FAF600" w14:textId="3BEF37F0" w:rsidR="00B8742D" w:rsidRPr="00C052CF" w:rsidRDefault="00B8742D" w:rsidP="00B8742D">
      <w:pPr>
        <w:pStyle w:val="CETheadingx"/>
        <w:rPr>
          <w:lang w:val="en-GB"/>
        </w:rPr>
      </w:pPr>
      <w:r w:rsidRPr="00C052CF">
        <w:rPr>
          <w:lang w:val="en-GB"/>
        </w:rPr>
        <w:t xml:space="preserve">3.3 Structural equation model </w:t>
      </w:r>
    </w:p>
    <w:p w14:paraId="5152A118" w14:textId="025E2D18" w:rsidR="00B8742D" w:rsidRPr="00C052CF" w:rsidRDefault="00A6223A" w:rsidP="002224CF">
      <w:pPr>
        <w:pStyle w:val="CETBodytext"/>
      </w:pPr>
      <w:r w:rsidRPr="00C052CF">
        <w:t xml:space="preserve">Outcomes of the SEM analysis are </w:t>
      </w:r>
      <w:r w:rsidR="00F6547A" w:rsidRPr="00C052CF">
        <w:t>summarized in Table 3 and Figure 1.</w:t>
      </w:r>
      <w:r w:rsidR="002224CF" w:rsidRPr="00C052CF">
        <w:t xml:space="preserve"> The results indicate an overall satisfactory fit to the data (</w:t>
      </w:r>
      <w:r w:rsidR="002224CF" w:rsidRPr="00C052CF">
        <w:rPr>
          <w:i/>
          <w:iCs/>
        </w:rPr>
        <w:t>CFI</w:t>
      </w:r>
      <w:r w:rsidR="002224CF" w:rsidRPr="00C052CF">
        <w:t xml:space="preserve">=0.947; </w:t>
      </w:r>
      <w:r w:rsidR="002224CF" w:rsidRPr="00C052CF">
        <w:rPr>
          <w:i/>
          <w:iCs/>
        </w:rPr>
        <w:t>IFI</w:t>
      </w:r>
      <w:r w:rsidR="002224CF" w:rsidRPr="00C052CF">
        <w:t xml:space="preserve">=0.947; </w:t>
      </w:r>
      <w:r w:rsidR="002224CF" w:rsidRPr="00C052CF">
        <w:rPr>
          <w:i/>
          <w:iCs/>
        </w:rPr>
        <w:t>NFI</w:t>
      </w:r>
      <w:r w:rsidR="00DB1AF2" w:rsidRPr="00C052CF">
        <w:t>=</w:t>
      </w:r>
      <w:r w:rsidR="002224CF" w:rsidRPr="00C052CF">
        <w:t xml:space="preserve">0.943), despite the sensitivity of the chi-square statistic to sample size. </w:t>
      </w:r>
      <w:r w:rsidR="00292620" w:rsidRPr="00C052CF">
        <w:t>A</w:t>
      </w:r>
      <w:r w:rsidR="002224CF" w:rsidRPr="00C052CF">
        <w:t>bsolute and residual-based indices</w:t>
      </w:r>
      <w:r w:rsidR="00292620" w:rsidRPr="00C052CF">
        <w:t xml:space="preserve"> are satisfactory too: t</w:t>
      </w:r>
      <w:r w:rsidR="002224CF" w:rsidRPr="00C052CF">
        <w:t>he standardized root mean square residual (</w:t>
      </w:r>
      <w:r w:rsidR="002224CF" w:rsidRPr="00C052CF">
        <w:rPr>
          <w:i/>
          <w:iCs/>
        </w:rPr>
        <w:t>SRMR</w:t>
      </w:r>
      <w:r w:rsidR="002224CF" w:rsidRPr="00C052CF">
        <w:t xml:space="preserve">=0.037) indicates an excellent fit between the observed and estimated covariance matrices. Although the </w:t>
      </w:r>
      <w:r w:rsidR="001348E5" w:rsidRPr="00C052CF">
        <w:t>root mean square error of approximation</w:t>
      </w:r>
      <w:r w:rsidR="002224CF" w:rsidRPr="00C052CF">
        <w:t xml:space="preserve"> is relatively high (</w:t>
      </w:r>
      <w:r w:rsidR="002224CF" w:rsidRPr="00C052CF">
        <w:rPr>
          <w:i/>
          <w:iCs/>
        </w:rPr>
        <w:t>RMSEA</w:t>
      </w:r>
      <w:r w:rsidR="002224CF" w:rsidRPr="00C052CF">
        <w:t xml:space="preserve">=0.161, </w:t>
      </w:r>
      <w:r w:rsidR="0090790F" w:rsidRPr="00C052CF">
        <w:t xml:space="preserve">with </w:t>
      </w:r>
      <w:r w:rsidR="002224CF" w:rsidRPr="00C052CF">
        <w:t xml:space="preserve">95% </w:t>
      </w:r>
      <w:r w:rsidR="0090790F" w:rsidRPr="00C052CF">
        <w:t xml:space="preserve">confidence interval </w:t>
      </w:r>
      <w:r w:rsidR="002224CF" w:rsidRPr="00C052CF">
        <w:t xml:space="preserve">[0.132–0.192]), this result should be interpreted with caution given the low degrees of freedom of the model, as </w:t>
      </w:r>
      <w:r w:rsidR="001348E5" w:rsidRPr="00C052CF">
        <w:t>this index</w:t>
      </w:r>
      <w:r w:rsidR="002224CF" w:rsidRPr="00C052CF">
        <w:t xml:space="preserve"> is sensitive and potentially inflated </w:t>
      </w:r>
      <w:r w:rsidR="00680353" w:rsidRPr="00C052CF">
        <w:t xml:space="preserve">in case of small </w:t>
      </w:r>
      <w:r w:rsidR="0090790F" w:rsidRPr="00C052CF">
        <w:t xml:space="preserve">degrees of freedom </w:t>
      </w:r>
      <w:r w:rsidR="002224CF" w:rsidRPr="00C052CF">
        <w:t xml:space="preserve">(Kline, 2016). Overall, the </w:t>
      </w:r>
      <w:r w:rsidR="00FC7617" w:rsidRPr="00C052CF">
        <w:t xml:space="preserve">model </w:t>
      </w:r>
      <w:r w:rsidR="002224CF" w:rsidRPr="00C052CF">
        <w:t>provid</w:t>
      </w:r>
      <w:r w:rsidR="0090790F" w:rsidRPr="00C052CF">
        <w:t>es</w:t>
      </w:r>
      <w:r w:rsidR="002224CF" w:rsidRPr="00C052CF">
        <w:t xml:space="preserve"> an acceptable representation of the relationships among the constructs</w:t>
      </w:r>
      <w:r w:rsidR="00FC7617" w:rsidRPr="00C052CF">
        <w:t xml:space="preserve">, and specifically, it </w:t>
      </w:r>
      <w:r w:rsidR="0090790F" w:rsidRPr="00C052CF">
        <w:t xml:space="preserve">confirms that the organizational dimensions included in the analysis act as significant predictors of safety-related outcomes. Both </w:t>
      </w:r>
      <w:r w:rsidR="0090790F" w:rsidRPr="00C052CF">
        <w:rPr>
          <w:i/>
          <w:iCs/>
        </w:rPr>
        <w:t>Safety compliance</w:t>
      </w:r>
      <w:r w:rsidR="0090790F" w:rsidRPr="00C052CF">
        <w:t xml:space="preserve"> and </w:t>
      </w:r>
      <w:r w:rsidR="0090790F" w:rsidRPr="00C052CF">
        <w:rPr>
          <w:i/>
          <w:iCs/>
        </w:rPr>
        <w:t>Safety participation</w:t>
      </w:r>
      <w:r w:rsidR="0090790F" w:rsidRPr="00C052CF">
        <w:t xml:space="preserve"> turn out to be influenced by multiple perspectives associated with </w:t>
      </w:r>
      <w:r w:rsidR="008C76A8" w:rsidRPr="00C052CF">
        <w:t>OE</w:t>
      </w:r>
      <w:r w:rsidR="0090790F" w:rsidRPr="00C052CF">
        <w:t>, supporting the conceptualization of safety as an outcome embedded within broader organizational and managerial practices.</w:t>
      </w:r>
    </w:p>
    <w:p w14:paraId="3CF94C74" w14:textId="373CDB7D" w:rsidR="00CC6E82" w:rsidRPr="00C052CF" w:rsidRDefault="00CC6E82" w:rsidP="002224CF">
      <w:pPr>
        <w:pStyle w:val="CETBodytext"/>
      </w:pPr>
      <w:r w:rsidRPr="00C052CF">
        <w:rPr>
          <w:lang w:val="en-GB"/>
        </w:rPr>
        <w:t>Although the</w:t>
      </w:r>
      <w:r w:rsidR="00F61260" w:rsidRPr="00C052CF">
        <w:rPr>
          <w:lang w:val="en-GB"/>
        </w:rPr>
        <w:t xml:space="preserve">se outcomes primarily concern </w:t>
      </w:r>
      <w:r w:rsidRPr="00C052CF">
        <w:rPr>
          <w:lang w:val="en-GB"/>
        </w:rPr>
        <w:t xml:space="preserve">occupational safety, implications for process safety management </w:t>
      </w:r>
      <w:r w:rsidR="00F61260" w:rsidRPr="00C052CF">
        <w:rPr>
          <w:lang w:val="en-GB"/>
        </w:rPr>
        <w:t>can be derived</w:t>
      </w:r>
      <w:r w:rsidR="007B5C8B" w:rsidRPr="00C052CF">
        <w:rPr>
          <w:lang w:val="en-GB"/>
        </w:rPr>
        <w:t xml:space="preserve">, as in </w:t>
      </w:r>
      <w:r w:rsidRPr="00C052CF">
        <w:rPr>
          <w:lang w:val="en-GB"/>
        </w:rPr>
        <w:t>process industries</w:t>
      </w:r>
      <w:r w:rsidR="007B5C8B" w:rsidRPr="00C052CF">
        <w:rPr>
          <w:lang w:val="en-GB"/>
        </w:rPr>
        <w:t xml:space="preserve"> (</w:t>
      </w:r>
      <w:r w:rsidRPr="00C052CF">
        <w:rPr>
          <w:lang w:val="en-GB"/>
        </w:rPr>
        <w:t xml:space="preserve">chemical, petrochemical, and other Seveso-regulated </w:t>
      </w:r>
      <w:r w:rsidR="00AF4F6B" w:rsidRPr="00C052CF">
        <w:rPr>
          <w:lang w:val="en-GB"/>
        </w:rPr>
        <w:t xml:space="preserve">contexts </w:t>
      </w:r>
      <w:r w:rsidR="00C07354" w:rsidRPr="00C052CF">
        <w:rPr>
          <w:lang w:val="en-GB"/>
        </w:rPr>
        <w:t>–</w:t>
      </w:r>
      <w:r w:rsidR="006B242D" w:rsidRPr="00C052CF">
        <w:rPr>
          <w:lang w:val="en-GB"/>
        </w:rPr>
        <w:t xml:space="preserve"> </w:t>
      </w:r>
      <w:r w:rsidR="00C07354" w:rsidRPr="00C052CF">
        <w:rPr>
          <w:lang w:val="en-GB"/>
        </w:rPr>
        <w:t>Carra et al., 2024</w:t>
      </w:r>
      <w:r w:rsidR="007B5C8B" w:rsidRPr="00C052CF">
        <w:rPr>
          <w:lang w:val="en-GB"/>
        </w:rPr>
        <w:t xml:space="preserve">) </w:t>
      </w:r>
      <w:r w:rsidRPr="00C052CF">
        <w:rPr>
          <w:lang w:val="en-GB"/>
        </w:rPr>
        <w:t xml:space="preserve">process safety performance is increasingly recognised as dependent not only on technical safeguards but also on organisational and human factors (Pasman et al., 2009). The strong associations identified in this study between lean thinking, safety compliance, and people excellence suggest that organisations with higher </w:t>
      </w:r>
      <w:r w:rsidR="007B5C8B" w:rsidRPr="00C052CF">
        <w:rPr>
          <w:lang w:val="en-GB"/>
        </w:rPr>
        <w:t xml:space="preserve">OE </w:t>
      </w:r>
      <w:r w:rsidRPr="00C052CF">
        <w:rPr>
          <w:lang w:val="en-GB"/>
        </w:rPr>
        <w:t>maturity are better positioned to implement and sustain effective process safety management systems. In particular, the lean-safety nexus identified here — whereby process standardisation, waste reduction, and continuous improvement reinforce adherence to safety protocols — is directly applicable to process safety contexts, where procedural discipline and deviation management are critical to major accident prevention (Hopkins, 2009). Similarly, the role of people excellence in driving safety participation suggests that human-centred management practices are a key enabler of process safety culture, consistent with findings from high-reliability organisation research.</w:t>
      </w:r>
    </w:p>
    <w:p w14:paraId="318FBD3F" w14:textId="1DD3DBEE" w:rsidR="00F6547A" w:rsidRPr="00C052CF" w:rsidRDefault="00F6547A" w:rsidP="00F6547A">
      <w:pPr>
        <w:pStyle w:val="CETTabletitle"/>
      </w:pPr>
      <w:r w:rsidRPr="00C052CF">
        <w:lastRenderedPageBreak/>
        <w:t xml:space="preserve">Table 3: </w:t>
      </w:r>
      <w:r w:rsidR="00EA587F" w:rsidRPr="00C052CF">
        <w:t>SEM analysis</w:t>
      </w:r>
      <w:r w:rsidR="00617247" w:rsidRPr="00C052CF">
        <w:t xml:space="preserve"> – model test</w:t>
      </w:r>
      <w:r w:rsidR="00EA587F" w:rsidRPr="00C052CF">
        <w:t xml:space="preserve"> and </w:t>
      </w:r>
      <w:r w:rsidR="00617247" w:rsidRPr="00C052CF">
        <w:t xml:space="preserve">main </w:t>
      </w:r>
      <w:r w:rsidR="00EA587F" w:rsidRPr="00C052CF">
        <w:t>fit indexes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119"/>
        <w:gridCol w:w="1134"/>
        <w:gridCol w:w="1134"/>
        <w:gridCol w:w="1134"/>
      </w:tblGrid>
      <w:tr w:rsidR="00F1206C" w:rsidRPr="00C052CF" w14:paraId="59A51078" w14:textId="77777777" w:rsidTr="000B5D9C">
        <w:tc>
          <w:tcPr>
            <w:tcW w:w="3119" w:type="dxa"/>
            <w:tcBorders>
              <w:top w:val="single" w:sz="12" w:space="0" w:color="008000"/>
              <w:bottom w:val="single" w:sz="6" w:space="0" w:color="008000"/>
            </w:tcBorders>
            <w:shd w:val="clear" w:color="auto" w:fill="FFFFFF"/>
          </w:tcPr>
          <w:p w14:paraId="0D89ECA3" w14:textId="5CC42F96" w:rsidR="00F1206C" w:rsidRPr="00C052CF" w:rsidRDefault="00F1206C" w:rsidP="00F1206C">
            <w:pPr>
              <w:pStyle w:val="CETBodytext"/>
              <w:rPr>
                <w:i/>
                <w:iCs/>
                <w:lang w:val="en-GB"/>
              </w:rPr>
            </w:pPr>
            <w:r w:rsidRPr="00C052CF">
              <w:rPr>
                <w:i/>
                <w:iCs/>
                <w:lang w:val="it-IT"/>
              </w:rPr>
              <w:t>Model test</w:t>
            </w:r>
          </w:p>
        </w:tc>
        <w:tc>
          <w:tcPr>
            <w:tcW w:w="1134" w:type="dxa"/>
            <w:tcBorders>
              <w:top w:val="single" w:sz="12" w:space="0" w:color="008000"/>
              <w:bottom w:val="single" w:sz="6" w:space="0" w:color="008000"/>
            </w:tcBorders>
            <w:shd w:val="clear" w:color="auto" w:fill="FFFFFF"/>
            <w:vAlign w:val="center"/>
          </w:tcPr>
          <w:p w14:paraId="7F47F184" w14:textId="7BAF514C" w:rsidR="00F1206C" w:rsidRPr="00C052CF" w:rsidRDefault="00F1206C" w:rsidP="00F1206C">
            <w:pPr>
              <w:pStyle w:val="CETBodytext"/>
              <w:rPr>
                <w:lang w:val="en-GB"/>
              </w:rPr>
            </w:pPr>
            <w:r w:rsidRPr="00C052CF">
              <w:rPr>
                <w:b/>
                <w:bCs/>
                <w:lang w:val="it-IT"/>
              </w:rPr>
              <w:t>X²</w:t>
            </w:r>
          </w:p>
        </w:tc>
        <w:tc>
          <w:tcPr>
            <w:tcW w:w="1134" w:type="dxa"/>
            <w:tcBorders>
              <w:top w:val="single" w:sz="12" w:space="0" w:color="008000"/>
              <w:bottom w:val="single" w:sz="4" w:space="0" w:color="auto"/>
            </w:tcBorders>
            <w:shd w:val="clear" w:color="auto" w:fill="FFFFFF"/>
            <w:vAlign w:val="center"/>
          </w:tcPr>
          <w:p w14:paraId="06096006" w14:textId="79877183" w:rsidR="00F1206C" w:rsidRPr="00C052CF" w:rsidRDefault="0090790F" w:rsidP="00F1206C">
            <w:pPr>
              <w:pStyle w:val="CETBodytext"/>
              <w:rPr>
                <w:lang w:val="en-GB"/>
              </w:rPr>
            </w:pPr>
            <w:r w:rsidRPr="00C052CF">
              <w:rPr>
                <w:b/>
                <w:bCs/>
                <w:lang w:val="it-IT"/>
              </w:rPr>
              <w:t>D</w:t>
            </w:r>
            <w:r w:rsidR="00F1206C" w:rsidRPr="00C052CF">
              <w:rPr>
                <w:b/>
                <w:bCs/>
                <w:lang w:val="it-IT"/>
              </w:rPr>
              <w:t>f</w:t>
            </w:r>
          </w:p>
        </w:tc>
        <w:tc>
          <w:tcPr>
            <w:tcW w:w="1134" w:type="dxa"/>
            <w:tcBorders>
              <w:top w:val="single" w:sz="12" w:space="0" w:color="008000"/>
              <w:bottom w:val="single" w:sz="4" w:space="0" w:color="auto"/>
            </w:tcBorders>
            <w:shd w:val="clear" w:color="auto" w:fill="FFFFFF"/>
            <w:vAlign w:val="center"/>
          </w:tcPr>
          <w:p w14:paraId="30B57E74" w14:textId="679A7A1B" w:rsidR="00F1206C" w:rsidRPr="00C052CF" w:rsidRDefault="000C3674" w:rsidP="00F1206C">
            <w:pPr>
              <w:pStyle w:val="CETBodytext"/>
              <w:rPr>
                <w:lang w:val="en-GB"/>
              </w:rPr>
            </w:pPr>
            <w:r w:rsidRPr="00C052CF">
              <w:rPr>
                <w:b/>
                <w:bCs/>
                <w:lang w:val="it-IT"/>
              </w:rPr>
              <w:t>P</w:t>
            </w:r>
          </w:p>
        </w:tc>
      </w:tr>
      <w:tr w:rsidR="000D6C34" w:rsidRPr="00C052CF" w14:paraId="3B489B52" w14:textId="77777777" w:rsidTr="000B5D9C">
        <w:tc>
          <w:tcPr>
            <w:tcW w:w="3119" w:type="dxa"/>
            <w:shd w:val="clear" w:color="auto" w:fill="FFFFFF"/>
          </w:tcPr>
          <w:p w14:paraId="7531A5F0" w14:textId="2EFF0E12" w:rsidR="000D6C34" w:rsidRPr="00C052CF" w:rsidRDefault="000D6C34" w:rsidP="000D6C34">
            <w:pPr>
              <w:pStyle w:val="CETBodytext"/>
              <w:rPr>
                <w:lang w:val="en-GB"/>
              </w:rPr>
            </w:pPr>
            <w:r w:rsidRPr="00C052CF">
              <w:rPr>
                <w:lang w:val="it-IT"/>
              </w:rPr>
              <w:t xml:space="preserve">User </w:t>
            </w:r>
            <w:r w:rsidR="00FF2669" w:rsidRPr="00C052CF">
              <w:rPr>
                <w:lang w:val="it-IT"/>
              </w:rPr>
              <w:t>m</w:t>
            </w:r>
            <w:r w:rsidRPr="00C052CF">
              <w:rPr>
                <w:lang w:val="it-IT"/>
              </w:rPr>
              <w:t>odel</w:t>
            </w:r>
          </w:p>
        </w:tc>
        <w:tc>
          <w:tcPr>
            <w:tcW w:w="1134" w:type="dxa"/>
            <w:shd w:val="clear" w:color="auto" w:fill="FFFFFF"/>
          </w:tcPr>
          <w:p w14:paraId="0CB7D80F" w14:textId="6E8EC321" w:rsidR="000D6C34" w:rsidRPr="00C052CF" w:rsidRDefault="000D6C34" w:rsidP="000D6C34">
            <w:pPr>
              <w:pStyle w:val="CETBodytext"/>
              <w:rPr>
                <w:lang w:val="en-GB"/>
              </w:rPr>
            </w:pPr>
            <w:r w:rsidRPr="00C052CF">
              <w:rPr>
                <w:lang w:val="it-IT"/>
              </w:rPr>
              <w:t>88.9</w:t>
            </w:r>
          </w:p>
        </w:tc>
        <w:tc>
          <w:tcPr>
            <w:tcW w:w="1134" w:type="dxa"/>
            <w:shd w:val="clear" w:color="auto" w:fill="FFFFFF"/>
          </w:tcPr>
          <w:p w14:paraId="03E87246" w14:textId="75E0B183" w:rsidR="000D6C34" w:rsidRPr="00C052CF" w:rsidRDefault="000D6C34" w:rsidP="000D6C34">
            <w:pPr>
              <w:pStyle w:val="CETBodytext"/>
              <w:rPr>
                <w:lang w:val="en-GB"/>
              </w:rPr>
            </w:pPr>
            <w:r w:rsidRPr="00C052CF">
              <w:rPr>
                <w:lang w:val="it-IT"/>
              </w:rPr>
              <w:t>7</w:t>
            </w:r>
          </w:p>
        </w:tc>
        <w:tc>
          <w:tcPr>
            <w:tcW w:w="1134" w:type="dxa"/>
            <w:shd w:val="clear" w:color="auto" w:fill="FFFFFF"/>
          </w:tcPr>
          <w:p w14:paraId="07748B19" w14:textId="4806D76A" w:rsidR="000D6C34" w:rsidRPr="00C052CF" w:rsidRDefault="000D6C34" w:rsidP="000D6C34">
            <w:pPr>
              <w:pStyle w:val="CETBodytext"/>
              <w:ind w:right="-1"/>
              <w:rPr>
                <w:rFonts w:cs="Arial"/>
                <w:b/>
                <w:bCs/>
                <w:i/>
                <w:iCs/>
                <w:szCs w:val="18"/>
                <w:lang w:val="en-GB"/>
              </w:rPr>
            </w:pPr>
            <w:r w:rsidRPr="00C052CF">
              <w:rPr>
                <w:lang w:val="it-IT"/>
              </w:rPr>
              <w:t>&lt;.001</w:t>
            </w:r>
          </w:p>
        </w:tc>
      </w:tr>
      <w:tr w:rsidR="000D6C34" w:rsidRPr="00C052CF" w14:paraId="3FAE60F8" w14:textId="77777777" w:rsidTr="000B5D9C">
        <w:tc>
          <w:tcPr>
            <w:tcW w:w="3119" w:type="dxa"/>
            <w:shd w:val="clear" w:color="auto" w:fill="FFFFFF"/>
          </w:tcPr>
          <w:p w14:paraId="6B7B7865" w14:textId="081A8040" w:rsidR="000D6C34" w:rsidRPr="00C052CF" w:rsidRDefault="000D6C34" w:rsidP="000D6C34">
            <w:pPr>
              <w:pStyle w:val="CETBodytext"/>
              <w:rPr>
                <w:lang w:val="en-GB"/>
              </w:rPr>
            </w:pPr>
            <w:r w:rsidRPr="00C052CF">
              <w:rPr>
                <w:lang w:val="it-IT"/>
              </w:rPr>
              <w:t xml:space="preserve">Baseline </w:t>
            </w:r>
            <w:r w:rsidR="00FF2669" w:rsidRPr="00C052CF">
              <w:rPr>
                <w:lang w:val="it-IT"/>
              </w:rPr>
              <w:t>m</w:t>
            </w:r>
            <w:r w:rsidRPr="00C052CF">
              <w:rPr>
                <w:lang w:val="it-IT"/>
              </w:rPr>
              <w:t>odel</w:t>
            </w:r>
          </w:p>
        </w:tc>
        <w:tc>
          <w:tcPr>
            <w:tcW w:w="1134" w:type="dxa"/>
            <w:shd w:val="clear" w:color="auto" w:fill="FFFFFF"/>
          </w:tcPr>
          <w:p w14:paraId="7AC6B233" w14:textId="46C06A6D" w:rsidR="000D6C34" w:rsidRPr="00C052CF" w:rsidRDefault="000D6C34" w:rsidP="000D6C34">
            <w:pPr>
              <w:pStyle w:val="CETBodytext"/>
              <w:rPr>
                <w:lang w:val="en-GB"/>
              </w:rPr>
            </w:pPr>
            <w:r w:rsidRPr="00C052CF">
              <w:rPr>
                <w:lang w:val="it-IT"/>
              </w:rPr>
              <w:t>1547.0</w:t>
            </w:r>
          </w:p>
        </w:tc>
        <w:tc>
          <w:tcPr>
            <w:tcW w:w="1134" w:type="dxa"/>
            <w:shd w:val="clear" w:color="auto" w:fill="FFFFFF"/>
          </w:tcPr>
          <w:p w14:paraId="33AF43F1" w14:textId="5EBFB136" w:rsidR="000D6C34" w:rsidRPr="00C052CF" w:rsidRDefault="000D6C34" w:rsidP="000D6C34">
            <w:pPr>
              <w:pStyle w:val="CETBodytext"/>
              <w:rPr>
                <w:lang w:val="en-GB"/>
              </w:rPr>
            </w:pPr>
            <w:r w:rsidRPr="00C052CF">
              <w:rPr>
                <w:lang w:val="it-IT"/>
              </w:rPr>
              <w:t>15</w:t>
            </w:r>
          </w:p>
        </w:tc>
        <w:tc>
          <w:tcPr>
            <w:tcW w:w="1134" w:type="dxa"/>
            <w:shd w:val="clear" w:color="auto" w:fill="FFFFFF"/>
          </w:tcPr>
          <w:p w14:paraId="65CE404D" w14:textId="7AFE47BE" w:rsidR="000D6C34" w:rsidRPr="00C052CF" w:rsidRDefault="000D6C34" w:rsidP="000D6C34">
            <w:pPr>
              <w:pStyle w:val="CETBodytext"/>
              <w:ind w:right="-1"/>
              <w:rPr>
                <w:rFonts w:cs="Arial"/>
                <w:szCs w:val="18"/>
                <w:lang w:val="en-GB"/>
              </w:rPr>
            </w:pPr>
            <w:r w:rsidRPr="00C052CF">
              <w:rPr>
                <w:lang w:val="it-IT"/>
              </w:rPr>
              <w:t>&lt;.001</w:t>
            </w:r>
          </w:p>
        </w:tc>
      </w:tr>
      <w:tr w:rsidR="000D6C34" w:rsidRPr="00C052CF" w14:paraId="096631F6" w14:textId="77777777" w:rsidTr="000B5D9C">
        <w:tc>
          <w:tcPr>
            <w:tcW w:w="3119" w:type="dxa"/>
            <w:tcBorders>
              <w:top w:val="single" w:sz="12" w:space="0" w:color="008000"/>
              <w:bottom w:val="single" w:sz="6" w:space="0" w:color="008000"/>
            </w:tcBorders>
            <w:shd w:val="clear" w:color="auto" w:fill="FFFFFF"/>
          </w:tcPr>
          <w:p w14:paraId="165545A6" w14:textId="67A1B8DE" w:rsidR="000D6C34" w:rsidRPr="00C052CF" w:rsidRDefault="000B5D9C" w:rsidP="00F933CA">
            <w:pPr>
              <w:pStyle w:val="CETBodytext"/>
              <w:rPr>
                <w:i/>
                <w:iCs/>
                <w:lang w:val="en-GB"/>
              </w:rPr>
            </w:pPr>
            <w:r w:rsidRPr="00C052CF">
              <w:rPr>
                <w:i/>
                <w:iCs/>
                <w:lang w:val="it-IT"/>
              </w:rPr>
              <w:t>Fit indexes</w:t>
            </w:r>
          </w:p>
        </w:tc>
        <w:tc>
          <w:tcPr>
            <w:tcW w:w="1134" w:type="dxa"/>
            <w:tcBorders>
              <w:top w:val="single" w:sz="12" w:space="0" w:color="008000"/>
              <w:bottom w:val="single" w:sz="6" w:space="0" w:color="008000"/>
            </w:tcBorders>
            <w:shd w:val="clear" w:color="auto" w:fill="FFFFFF"/>
          </w:tcPr>
          <w:p w14:paraId="605DBBDB" w14:textId="0360B055" w:rsidR="000D6C34" w:rsidRPr="00C052CF" w:rsidRDefault="00F1206C" w:rsidP="00F933CA">
            <w:pPr>
              <w:pStyle w:val="CETBodytext"/>
              <w:rPr>
                <w:b/>
                <w:bCs/>
                <w:lang w:val="en-GB"/>
              </w:rPr>
            </w:pPr>
            <w:r w:rsidRPr="00C052CF">
              <w:rPr>
                <w:b/>
                <w:bCs/>
                <w:lang w:val="en-GB"/>
              </w:rPr>
              <w:t>SRMR</w:t>
            </w:r>
          </w:p>
        </w:tc>
        <w:tc>
          <w:tcPr>
            <w:tcW w:w="1134" w:type="dxa"/>
            <w:tcBorders>
              <w:top w:val="single" w:sz="12" w:space="0" w:color="008000"/>
              <w:bottom w:val="single" w:sz="4" w:space="0" w:color="auto"/>
            </w:tcBorders>
            <w:shd w:val="clear" w:color="auto" w:fill="FFFFFF"/>
          </w:tcPr>
          <w:p w14:paraId="06FCB680" w14:textId="63AF96BB" w:rsidR="000D6C34" w:rsidRPr="00C052CF" w:rsidRDefault="00F1206C" w:rsidP="00F933CA">
            <w:pPr>
              <w:pStyle w:val="CETBodytext"/>
              <w:rPr>
                <w:b/>
                <w:bCs/>
                <w:lang w:val="en-GB"/>
              </w:rPr>
            </w:pPr>
            <w:r w:rsidRPr="00C052CF">
              <w:rPr>
                <w:b/>
                <w:bCs/>
                <w:lang w:val="en-GB"/>
              </w:rPr>
              <w:t>RMSEA</w:t>
            </w:r>
          </w:p>
        </w:tc>
        <w:tc>
          <w:tcPr>
            <w:tcW w:w="1134" w:type="dxa"/>
            <w:tcBorders>
              <w:top w:val="single" w:sz="12" w:space="0" w:color="008000"/>
              <w:bottom w:val="single" w:sz="4" w:space="0" w:color="auto"/>
            </w:tcBorders>
            <w:shd w:val="clear" w:color="auto" w:fill="FFFFFF"/>
          </w:tcPr>
          <w:p w14:paraId="27F1FC3B" w14:textId="34611A78" w:rsidR="000D6C34" w:rsidRPr="00C052CF" w:rsidRDefault="00F1206C" w:rsidP="00F933CA">
            <w:pPr>
              <w:pStyle w:val="CETBodytext"/>
              <w:rPr>
                <w:b/>
                <w:bCs/>
                <w:lang w:val="en-GB"/>
              </w:rPr>
            </w:pPr>
            <w:r w:rsidRPr="00C052CF">
              <w:rPr>
                <w:b/>
                <w:bCs/>
                <w:lang w:val="en-GB"/>
              </w:rPr>
              <w:t>RMSEA p</w:t>
            </w:r>
          </w:p>
        </w:tc>
      </w:tr>
      <w:tr w:rsidR="000B5D9C" w:rsidRPr="00C052CF" w14:paraId="0AC3E94C" w14:textId="77777777" w:rsidTr="000B5D9C">
        <w:tc>
          <w:tcPr>
            <w:tcW w:w="3119" w:type="dxa"/>
            <w:tcBorders>
              <w:bottom w:val="single" w:sz="12" w:space="0" w:color="008000"/>
            </w:tcBorders>
            <w:shd w:val="clear" w:color="auto" w:fill="FFFFFF"/>
          </w:tcPr>
          <w:p w14:paraId="43D0050D" w14:textId="5DDC4DCE" w:rsidR="000B5D9C" w:rsidRPr="00C052CF" w:rsidRDefault="000B5D9C" w:rsidP="000B5D9C">
            <w:pPr>
              <w:pStyle w:val="CETBodytext"/>
              <w:rPr>
                <w:lang w:val="it-IT"/>
              </w:rPr>
            </w:pPr>
          </w:p>
        </w:tc>
        <w:tc>
          <w:tcPr>
            <w:tcW w:w="1134" w:type="dxa"/>
            <w:tcBorders>
              <w:bottom w:val="single" w:sz="12" w:space="0" w:color="008000"/>
            </w:tcBorders>
            <w:shd w:val="clear" w:color="auto" w:fill="FFFFFF"/>
          </w:tcPr>
          <w:p w14:paraId="1E5E8F7A" w14:textId="7E0F39D0" w:rsidR="000B5D9C" w:rsidRPr="00C052CF" w:rsidRDefault="000B5D9C" w:rsidP="000B5D9C">
            <w:pPr>
              <w:pStyle w:val="CETBodytext"/>
              <w:rPr>
                <w:lang w:val="en-GB"/>
              </w:rPr>
            </w:pPr>
            <w:r w:rsidRPr="00C052CF">
              <w:rPr>
                <w:lang w:val="en-GB"/>
              </w:rPr>
              <w:t>0.037</w:t>
            </w:r>
          </w:p>
        </w:tc>
        <w:tc>
          <w:tcPr>
            <w:tcW w:w="1134" w:type="dxa"/>
            <w:tcBorders>
              <w:bottom w:val="single" w:sz="12" w:space="0" w:color="008000"/>
            </w:tcBorders>
            <w:shd w:val="clear" w:color="auto" w:fill="FFFFFF"/>
          </w:tcPr>
          <w:p w14:paraId="2CB3074D" w14:textId="2929D7C6" w:rsidR="000B5D9C" w:rsidRPr="00C052CF" w:rsidRDefault="000B5D9C" w:rsidP="000B5D9C">
            <w:pPr>
              <w:pStyle w:val="CETBodytext"/>
              <w:rPr>
                <w:lang w:val="en-GB"/>
              </w:rPr>
            </w:pPr>
            <w:r w:rsidRPr="00C052CF">
              <w:rPr>
                <w:lang w:val="en-GB"/>
              </w:rPr>
              <w:t>0.161</w:t>
            </w:r>
          </w:p>
        </w:tc>
        <w:tc>
          <w:tcPr>
            <w:tcW w:w="1134" w:type="dxa"/>
            <w:tcBorders>
              <w:bottom w:val="single" w:sz="12" w:space="0" w:color="008000"/>
            </w:tcBorders>
            <w:shd w:val="clear" w:color="auto" w:fill="FFFFFF"/>
          </w:tcPr>
          <w:p w14:paraId="6B2BCF7D" w14:textId="4547A078" w:rsidR="000B5D9C" w:rsidRPr="00C052CF" w:rsidRDefault="000B5D9C" w:rsidP="000B5D9C">
            <w:pPr>
              <w:pStyle w:val="CETBodytext"/>
              <w:ind w:right="-1"/>
              <w:rPr>
                <w:rFonts w:cs="Arial"/>
                <w:szCs w:val="18"/>
                <w:lang w:val="en-GB"/>
              </w:rPr>
            </w:pPr>
            <w:r w:rsidRPr="00C052CF">
              <w:rPr>
                <w:rFonts w:cs="Arial"/>
                <w:szCs w:val="18"/>
                <w:lang w:val="en-GB"/>
              </w:rPr>
              <w:t>&lt;0.001</w:t>
            </w:r>
          </w:p>
        </w:tc>
      </w:tr>
      <w:tr w:rsidR="000B5D9C" w:rsidRPr="00C052CF" w14:paraId="4C3C9606" w14:textId="77777777" w:rsidTr="000B5D9C">
        <w:tc>
          <w:tcPr>
            <w:tcW w:w="3119" w:type="dxa"/>
            <w:shd w:val="clear" w:color="auto" w:fill="FFFFFF"/>
          </w:tcPr>
          <w:p w14:paraId="0EFFE9E4" w14:textId="69C58E3B" w:rsidR="000B5D9C" w:rsidRPr="00C052CF" w:rsidRDefault="000B5D9C" w:rsidP="00F933CA">
            <w:pPr>
              <w:pStyle w:val="CETBodytext"/>
              <w:rPr>
                <w:i/>
                <w:iCs/>
                <w:lang w:val="it-IT"/>
              </w:rPr>
            </w:pPr>
            <w:r w:rsidRPr="00C052CF">
              <w:rPr>
                <w:i/>
                <w:iCs/>
                <w:lang w:val="it-IT"/>
              </w:rPr>
              <w:t>User model vs. baseline model</w:t>
            </w:r>
          </w:p>
        </w:tc>
        <w:tc>
          <w:tcPr>
            <w:tcW w:w="1134" w:type="dxa"/>
            <w:shd w:val="clear" w:color="auto" w:fill="FFFFFF"/>
          </w:tcPr>
          <w:p w14:paraId="0ABC7B24" w14:textId="64058B06" w:rsidR="000B5D9C" w:rsidRPr="00C052CF" w:rsidRDefault="000B5D9C" w:rsidP="00F933CA">
            <w:pPr>
              <w:pStyle w:val="CETBodytext"/>
              <w:rPr>
                <w:b/>
                <w:bCs/>
                <w:lang w:val="en-GB"/>
              </w:rPr>
            </w:pPr>
            <w:r w:rsidRPr="00C052CF">
              <w:rPr>
                <w:b/>
                <w:bCs/>
                <w:lang w:val="en-GB"/>
              </w:rPr>
              <w:t>CFI</w:t>
            </w:r>
          </w:p>
        </w:tc>
        <w:tc>
          <w:tcPr>
            <w:tcW w:w="1134" w:type="dxa"/>
            <w:shd w:val="clear" w:color="auto" w:fill="FFFFFF"/>
          </w:tcPr>
          <w:p w14:paraId="7BCCC71A" w14:textId="4BB23429" w:rsidR="000B5D9C" w:rsidRPr="00C052CF" w:rsidRDefault="0031119F" w:rsidP="00F933CA">
            <w:pPr>
              <w:pStyle w:val="CETBodytext"/>
              <w:rPr>
                <w:b/>
                <w:bCs/>
                <w:lang w:val="en-GB"/>
              </w:rPr>
            </w:pPr>
            <w:r w:rsidRPr="00C052CF">
              <w:rPr>
                <w:b/>
                <w:bCs/>
                <w:lang w:val="en-GB"/>
              </w:rPr>
              <w:t>IFI</w:t>
            </w:r>
          </w:p>
        </w:tc>
        <w:tc>
          <w:tcPr>
            <w:tcW w:w="1134" w:type="dxa"/>
            <w:shd w:val="clear" w:color="auto" w:fill="FFFFFF"/>
          </w:tcPr>
          <w:p w14:paraId="79FF2508" w14:textId="7848B5D1" w:rsidR="000B5D9C" w:rsidRPr="00C052CF" w:rsidRDefault="0031119F" w:rsidP="000B5D9C">
            <w:pPr>
              <w:pStyle w:val="CETBodytext"/>
              <w:ind w:right="-1"/>
              <w:rPr>
                <w:rFonts w:cs="Arial"/>
                <w:b/>
                <w:bCs/>
                <w:szCs w:val="18"/>
                <w:lang w:val="en-GB"/>
              </w:rPr>
            </w:pPr>
            <w:r w:rsidRPr="00C052CF">
              <w:rPr>
                <w:rFonts w:cs="Arial"/>
                <w:b/>
                <w:bCs/>
                <w:szCs w:val="18"/>
                <w:lang w:val="en-GB"/>
              </w:rPr>
              <w:t>NFI</w:t>
            </w:r>
          </w:p>
        </w:tc>
      </w:tr>
      <w:tr w:rsidR="000B5D9C" w:rsidRPr="00C052CF" w14:paraId="7C9707C0" w14:textId="77777777" w:rsidTr="000B5D9C">
        <w:tc>
          <w:tcPr>
            <w:tcW w:w="3119" w:type="dxa"/>
            <w:tcBorders>
              <w:bottom w:val="single" w:sz="12" w:space="0" w:color="008000"/>
            </w:tcBorders>
            <w:shd w:val="clear" w:color="auto" w:fill="FFFFFF"/>
          </w:tcPr>
          <w:p w14:paraId="4B54303B" w14:textId="2F51E408" w:rsidR="000B5D9C" w:rsidRPr="00C052CF" w:rsidRDefault="000B5D9C" w:rsidP="00F933CA">
            <w:pPr>
              <w:pStyle w:val="CETBodytext"/>
              <w:rPr>
                <w:lang w:val="it-IT"/>
              </w:rPr>
            </w:pPr>
          </w:p>
        </w:tc>
        <w:tc>
          <w:tcPr>
            <w:tcW w:w="1134" w:type="dxa"/>
            <w:tcBorders>
              <w:bottom w:val="single" w:sz="12" w:space="0" w:color="008000"/>
            </w:tcBorders>
            <w:shd w:val="clear" w:color="auto" w:fill="FFFFFF"/>
          </w:tcPr>
          <w:p w14:paraId="77CB2F48" w14:textId="35B6E689" w:rsidR="000B5D9C" w:rsidRPr="00C052CF" w:rsidRDefault="005F11A2" w:rsidP="00F933CA">
            <w:pPr>
              <w:pStyle w:val="CETBodytext"/>
              <w:rPr>
                <w:lang w:val="en-GB"/>
              </w:rPr>
            </w:pPr>
            <w:r w:rsidRPr="00C052CF">
              <w:rPr>
                <w:lang w:val="en-GB"/>
              </w:rPr>
              <w:t>0.947</w:t>
            </w:r>
          </w:p>
        </w:tc>
        <w:tc>
          <w:tcPr>
            <w:tcW w:w="1134" w:type="dxa"/>
            <w:tcBorders>
              <w:bottom w:val="single" w:sz="12" w:space="0" w:color="008000"/>
            </w:tcBorders>
            <w:shd w:val="clear" w:color="auto" w:fill="FFFFFF"/>
          </w:tcPr>
          <w:p w14:paraId="48E1D3EB" w14:textId="665F55CF" w:rsidR="000B5D9C" w:rsidRPr="00C052CF" w:rsidRDefault="005F11A2" w:rsidP="00F933CA">
            <w:pPr>
              <w:pStyle w:val="CETBodytext"/>
              <w:rPr>
                <w:lang w:val="en-GB"/>
              </w:rPr>
            </w:pPr>
            <w:r w:rsidRPr="00C052CF">
              <w:rPr>
                <w:lang w:val="en-GB"/>
              </w:rPr>
              <w:t>0.947</w:t>
            </w:r>
          </w:p>
        </w:tc>
        <w:tc>
          <w:tcPr>
            <w:tcW w:w="1134" w:type="dxa"/>
            <w:tcBorders>
              <w:bottom w:val="single" w:sz="12" w:space="0" w:color="008000"/>
            </w:tcBorders>
            <w:shd w:val="clear" w:color="auto" w:fill="FFFFFF"/>
          </w:tcPr>
          <w:p w14:paraId="1A8BB477" w14:textId="09616412" w:rsidR="000B5D9C" w:rsidRPr="00C052CF" w:rsidRDefault="005F11A2" w:rsidP="00F933CA">
            <w:pPr>
              <w:pStyle w:val="CETBodytext"/>
              <w:ind w:right="-1"/>
              <w:rPr>
                <w:rFonts w:cs="Arial"/>
                <w:szCs w:val="18"/>
                <w:lang w:val="en-GB"/>
              </w:rPr>
            </w:pPr>
            <w:r w:rsidRPr="00C052CF">
              <w:rPr>
                <w:rFonts w:cs="Arial"/>
                <w:szCs w:val="18"/>
                <w:lang w:val="en-GB"/>
              </w:rPr>
              <w:t>0.943</w:t>
            </w:r>
          </w:p>
        </w:tc>
      </w:tr>
    </w:tbl>
    <w:p w14:paraId="513CA2A8" w14:textId="63E65CF6" w:rsidR="003A149B" w:rsidRPr="00C052CF" w:rsidRDefault="003A149B" w:rsidP="003A149B">
      <w:pPr>
        <w:pStyle w:val="CETBodytext"/>
        <w:rPr>
          <w:lang w:val="it-IT"/>
        </w:rPr>
      </w:pPr>
    </w:p>
    <w:p w14:paraId="6260C915" w14:textId="0CA06F61" w:rsidR="00FF2669" w:rsidRPr="00C052CF" w:rsidRDefault="002224CF" w:rsidP="003A149B">
      <w:pPr>
        <w:pStyle w:val="CETBodytext"/>
        <w:rPr>
          <w:lang w:val="it-IT"/>
        </w:rPr>
      </w:pPr>
      <w:r w:rsidRPr="00C052CF">
        <w:rPr>
          <w:noProof/>
        </w:rPr>
        <w:drawing>
          <wp:inline distT="0" distB="0" distL="0" distR="0" wp14:anchorId="472C6F88" wp14:editId="7C929A99">
            <wp:extent cx="4422974" cy="2307946"/>
            <wp:effectExtent l="0" t="0" r="0" b="0"/>
            <wp:docPr id="189875716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5244" t="8890" b="10949"/>
                    <a:stretch>
                      <a:fillRect/>
                    </a:stretch>
                  </pic:blipFill>
                  <pic:spPr bwMode="auto">
                    <a:xfrm>
                      <a:off x="0" y="0"/>
                      <a:ext cx="4424254" cy="2308614"/>
                    </a:xfrm>
                    <a:prstGeom prst="rect">
                      <a:avLst/>
                    </a:prstGeom>
                    <a:noFill/>
                    <a:ln>
                      <a:noFill/>
                    </a:ln>
                    <a:extLst>
                      <a:ext uri="{53640926-AAD7-44D8-BBD7-CCE9431645EC}">
                        <a14:shadowObscured xmlns:a14="http://schemas.microsoft.com/office/drawing/2010/main"/>
                      </a:ext>
                    </a:extLst>
                  </pic:spPr>
                </pic:pic>
              </a:graphicData>
            </a:graphic>
          </wp:inline>
        </w:drawing>
      </w:r>
    </w:p>
    <w:p w14:paraId="64F47762" w14:textId="2D5C890C" w:rsidR="00FF2669" w:rsidRPr="00C052CF" w:rsidRDefault="00FF2669" w:rsidP="00FF2669">
      <w:pPr>
        <w:pStyle w:val="CETTabletitle"/>
      </w:pPr>
      <w:r w:rsidRPr="00C052CF">
        <w:t>Figure 1: SEM model</w:t>
      </w:r>
      <w:r w:rsidR="009A021E" w:rsidRPr="00C052CF">
        <w:t xml:space="preserve"> – path diagram</w:t>
      </w:r>
      <w:r w:rsidR="001348E5" w:rsidRPr="00C052CF">
        <w:t>.</w:t>
      </w:r>
    </w:p>
    <w:p w14:paraId="68D26B83" w14:textId="77777777" w:rsidR="00600535" w:rsidRPr="00C052CF" w:rsidRDefault="00600535" w:rsidP="00362578">
      <w:pPr>
        <w:pStyle w:val="CETHeading1"/>
      </w:pPr>
      <w:r w:rsidRPr="00C052CF">
        <w:t>Conclusions</w:t>
      </w:r>
    </w:p>
    <w:p w14:paraId="5E4F8D6E" w14:textId="123D9F65" w:rsidR="00C54AE4" w:rsidRPr="00C052CF" w:rsidRDefault="00AB1E10" w:rsidP="00C54AE4">
      <w:pPr>
        <w:pStyle w:val="CETBodytext"/>
        <w:rPr>
          <w:lang w:val="en-GB"/>
        </w:rPr>
      </w:pPr>
      <w:r w:rsidRPr="00C052CF">
        <w:rPr>
          <w:lang w:val="en-GB"/>
        </w:rPr>
        <w:t xml:space="preserve">Based on a structured survey, </w:t>
      </w:r>
      <w:r w:rsidR="00CF3D44" w:rsidRPr="00C052CF">
        <w:rPr>
          <w:lang w:val="en-GB"/>
        </w:rPr>
        <w:t>this paper</w:t>
      </w:r>
      <w:r w:rsidRPr="00C052CF">
        <w:rPr>
          <w:lang w:val="en-GB"/>
        </w:rPr>
        <w:t xml:space="preserve"> has investigated </w:t>
      </w:r>
      <w:r w:rsidR="00CF3D44" w:rsidRPr="00C052CF">
        <w:rPr>
          <w:lang w:val="en-GB"/>
        </w:rPr>
        <w:t xml:space="preserve">the relationship between </w:t>
      </w:r>
      <w:r w:rsidR="00C06D2C" w:rsidRPr="00C052CF">
        <w:rPr>
          <w:lang w:val="en-GB"/>
        </w:rPr>
        <w:t>some organizational dimensions</w:t>
      </w:r>
      <w:r w:rsidR="00E13FB1" w:rsidRPr="00C052CF">
        <w:rPr>
          <w:lang w:val="en-GB"/>
        </w:rPr>
        <w:t xml:space="preserve"> and </w:t>
      </w:r>
      <w:r w:rsidR="00362578" w:rsidRPr="00C052CF">
        <w:rPr>
          <w:lang w:val="en-GB"/>
        </w:rPr>
        <w:t xml:space="preserve">the </w:t>
      </w:r>
      <w:r w:rsidR="00E13FB1" w:rsidRPr="00C052CF">
        <w:rPr>
          <w:lang w:val="en-GB"/>
        </w:rPr>
        <w:t>safety performance at the workplace</w:t>
      </w:r>
      <w:r w:rsidR="00CF3D44" w:rsidRPr="00C052CF">
        <w:rPr>
          <w:lang w:val="en-GB"/>
        </w:rPr>
        <w:t>.</w:t>
      </w:r>
      <w:r w:rsidRPr="00C052CF">
        <w:rPr>
          <w:lang w:val="en-GB"/>
        </w:rPr>
        <w:t xml:space="preserve"> </w:t>
      </w:r>
      <w:r w:rsidR="002307C6" w:rsidRPr="00C052CF">
        <w:rPr>
          <w:lang w:val="en-GB"/>
        </w:rPr>
        <w:t>T</w:t>
      </w:r>
      <w:r w:rsidR="000872A1" w:rsidRPr="00C052CF">
        <w:rPr>
          <w:lang w:val="en-GB"/>
        </w:rPr>
        <w:t xml:space="preserve">he outcomes </w:t>
      </w:r>
      <w:r w:rsidRPr="00C052CF">
        <w:rPr>
          <w:lang w:val="en-GB"/>
        </w:rPr>
        <w:t>highlight</w:t>
      </w:r>
      <w:r w:rsidR="002307C6" w:rsidRPr="00C052CF">
        <w:rPr>
          <w:lang w:val="en-GB"/>
        </w:rPr>
        <w:t xml:space="preserve"> </w:t>
      </w:r>
      <w:r w:rsidR="00B87588" w:rsidRPr="00C052CF">
        <w:rPr>
          <w:lang w:val="en-GB"/>
        </w:rPr>
        <w:t xml:space="preserve">strong correlations between </w:t>
      </w:r>
      <w:r w:rsidR="004D0B40" w:rsidRPr="00C052CF">
        <w:rPr>
          <w:i/>
          <w:iCs/>
          <w:lang w:val="en-GB"/>
        </w:rPr>
        <w:t>People excellence</w:t>
      </w:r>
      <w:r w:rsidR="004D0B40" w:rsidRPr="00C052CF">
        <w:rPr>
          <w:lang w:val="en-GB"/>
        </w:rPr>
        <w:t xml:space="preserve"> and </w:t>
      </w:r>
      <w:r w:rsidR="00201F58" w:rsidRPr="00C052CF">
        <w:rPr>
          <w:i/>
          <w:iCs/>
          <w:lang w:val="en-GB"/>
        </w:rPr>
        <w:t>Lean thinking</w:t>
      </w:r>
      <w:r w:rsidR="004046BA" w:rsidRPr="00C052CF">
        <w:rPr>
          <w:lang w:val="en-GB"/>
        </w:rPr>
        <w:t xml:space="preserve"> and between </w:t>
      </w:r>
      <w:r w:rsidR="000872A1" w:rsidRPr="00C052CF">
        <w:rPr>
          <w:i/>
          <w:iCs/>
          <w:lang w:val="en-GB"/>
        </w:rPr>
        <w:t>S</w:t>
      </w:r>
      <w:r w:rsidR="004046BA" w:rsidRPr="00C052CF">
        <w:rPr>
          <w:i/>
          <w:iCs/>
          <w:lang w:val="en-GB"/>
        </w:rPr>
        <w:t>afety compliance</w:t>
      </w:r>
      <w:r w:rsidR="004046BA" w:rsidRPr="00C052CF">
        <w:rPr>
          <w:lang w:val="en-GB"/>
        </w:rPr>
        <w:t xml:space="preserve"> and </w:t>
      </w:r>
      <w:r w:rsidR="004046BA" w:rsidRPr="00C052CF">
        <w:rPr>
          <w:i/>
          <w:iCs/>
          <w:lang w:val="en-GB"/>
        </w:rPr>
        <w:t>Lean thinking</w:t>
      </w:r>
      <w:r w:rsidR="004046BA" w:rsidRPr="00C052CF">
        <w:rPr>
          <w:lang w:val="en-GB"/>
        </w:rPr>
        <w:t xml:space="preserve">. </w:t>
      </w:r>
      <w:r w:rsidR="00040B68" w:rsidRPr="00C052CF">
        <w:rPr>
          <w:lang w:val="en-GB"/>
        </w:rPr>
        <w:t xml:space="preserve">These relationships suggest that </w:t>
      </w:r>
      <w:r w:rsidR="009B3E43" w:rsidRPr="00C052CF">
        <w:rPr>
          <w:lang w:val="en-GB"/>
        </w:rPr>
        <w:t xml:space="preserve">OE </w:t>
      </w:r>
      <w:r w:rsidR="00040B68" w:rsidRPr="00C052CF">
        <w:rPr>
          <w:lang w:val="en-GB"/>
        </w:rPr>
        <w:t xml:space="preserve">can be pursued </w:t>
      </w:r>
      <w:r w:rsidR="00F06255" w:rsidRPr="00C052CF">
        <w:rPr>
          <w:lang w:val="en-GB"/>
        </w:rPr>
        <w:t xml:space="preserve">not only </w:t>
      </w:r>
      <w:r w:rsidR="00040B68" w:rsidRPr="00C052CF">
        <w:rPr>
          <w:lang w:val="en-GB"/>
        </w:rPr>
        <w:t xml:space="preserve">to optimize process management, but also to actively enhance workplace safety. This </w:t>
      </w:r>
      <w:r w:rsidR="00F06255" w:rsidRPr="00C052CF">
        <w:rPr>
          <w:lang w:val="en-GB"/>
        </w:rPr>
        <w:t xml:space="preserve">view </w:t>
      </w:r>
      <w:r w:rsidR="00040B68" w:rsidRPr="00C052CF">
        <w:rPr>
          <w:lang w:val="en-GB"/>
        </w:rPr>
        <w:t xml:space="preserve">is further supported by the strong association observed between </w:t>
      </w:r>
      <w:r w:rsidR="00F06255" w:rsidRPr="00C052CF">
        <w:rPr>
          <w:i/>
          <w:iCs/>
          <w:lang w:val="en-GB"/>
        </w:rPr>
        <w:t>L</w:t>
      </w:r>
      <w:r w:rsidR="00040B68" w:rsidRPr="00C052CF">
        <w:rPr>
          <w:i/>
          <w:iCs/>
          <w:lang w:val="en-GB"/>
        </w:rPr>
        <w:t>ean thinking</w:t>
      </w:r>
      <w:r w:rsidR="00040B68" w:rsidRPr="00C052CF">
        <w:rPr>
          <w:lang w:val="en-GB"/>
        </w:rPr>
        <w:t xml:space="preserve"> and </w:t>
      </w:r>
      <w:r w:rsidR="00F06255" w:rsidRPr="00C052CF">
        <w:rPr>
          <w:i/>
          <w:iCs/>
          <w:lang w:val="en-GB"/>
        </w:rPr>
        <w:t>S</w:t>
      </w:r>
      <w:r w:rsidR="00040B68" w:rsidRPr="00C052CF">
        <w:rPr>
          <w:i/>
          <w:iCs/>
          <w:lang w:val="en-GB"/>
        </w:rPr>
        <w:t>afety participation</w:t>
      </w:r>
      <w:r w:rsidR="00040B68" w:rsidRPr="00C052CF">
        <w:rPr>
          <w:lang w:val="en-GB"/>
        </w:rPr>
        <w:t xml:space="preserve">, </w:t>
      </w:r>
      <w:r w:rsidR="00F06255" w:rsidRPr="00C052CF">
        <w:rPr>
          <w:lang w:val="en-GB"/>
        </w:rPr>
        <w:t xml:space="preserve">which again suggests </w:t>
      </w:r>
      <w:r w:rsidR="00040B68" w:rsidRPr="00C052CF">
        <w:rPr>
          <w:lang w:val="en-GB"/>
        </w:rPr>
        <w:t xml:space="preserve">that effective lean implementation inherently fosters a proactive safety culture in which employee engagement and continuous improvement are mutually reinforcing. </w:t>
      </w:r>
      <w:r w:rsidR="00953CCE" w:rsidRPr="00C052CF">
        <w:rPr>
          <w:lang w:val="en-GB"/>
        </w:rPr>
        <w:t>T</w:t>
      </w:r>
      <w:r w:rsidR="00040B68" w:rsidRPr="00C052CF">
        <w:rPr>
          <w:lang w:val="en-GB"/>
        </w:rPr>
        <w:t xml:space="preserve">hese findings underscore the importance of integrating people, process, and safety dimensions to achieve a truly comprehensive </w:t>
      </w:r>
      <w:r w:rsidR="009B3E43" w:rsidRPr="00C052CF">
        <w:rPr>
          <w:lang w:val="en-GB"/>
        </w:rPr>
        <w:t xml:space="preserve">OE </w:t>
      </w:r>
      <w:r w:rsidR="00040B68" w:rsidRPr="00C052CF">
        <w:rPr>
          <w:lang w:val="en-GB"/>
        </w:rPr>
        <w:t>strategy.</w:t>
      </w:r>
      <w:r w:rsidR="00F06255" w:rsidRPr="00C052CF">
        <w:rPr>
          <w:lang w:val="en-GB"/>
        </w:rPr>
        <w:t xml:space="preserve"> </w:t>
      </w:r>
      <w:r w:rsidR="009B3E43" w:rsidRPr="00C052CF">
        <w:t>T</w:t>
      </w:r>
      <w:r w:rsidR="00C54AE4" w:rsidRPr="00C052CF">
        <w:t xml:space="preserve">he SEM </w:t>
      </w:r>
      <w:r w:rsidR="009B3E43" w:rsidRPr="00C052CF">
        <w:t xml:space="preserve">analysis </w:t>
      </w:r>
      <w:r w:rsidR="00C54AE4" w:rsidRPr="00C052CF">
        <w:t xml:space="preserve">offers </w:t>
      </w:r>
      <w:r w:rsidR="009B3E43" w:rsidRPr="00C052CF">
        <w:t xml:space="preserve">further insights on </w:t>
      </w:r>
      <w:r w:rsidR="00C54AE4" w:rsidRPr="00C052CF">
        <w:t xml:space="preserve">the interdependencies among the constructs, </w:t>
      </w:r>
      <w:r w:rsidR="00953CCE" w:rsidRPr="00C052CF">
        <w:t xml:space="preserve">and specifically, it reinforces </w:t>
      </w:r>
      <w:r w:rsidR="00C54AE4" w:rsidRPr="00C052CF">
        <w:t>the view that people-, process-, and organization-oriented dimensions jointly contribute to workplace safety.</w:t>
      </w:r>
    </w:p>
    <w:p w14:paraId="31351AA3" w14:textId="6D8A75AE" w:rsidR="00640625" w:rsidRPr="00C052CF" w:rsidRDefault="00F804AD" w:rsidP="00DD0F30">
      <w:pPr>
        <w:pStyle w:val="CETBodytext"/>
        <w:rPr>
          <w:lang w:val="en-GB"/>
        </w:rPr>
      </w:pPr>
      <w:r w:rsidRPr="00C052CF">
        <w:rPr>
          <w:lang w:val="en-GB"/>
        </w:rPr>
        <w:t>Taken together, the findings</w:t>
      </w:r>
      <w:r w:rsidR="00F06255" w:rsidRPr="00C052CF">
        <w:rPr>
          <w:lang w:val="en-GB"/>
        </w:rPr>
        <w:t xml:space="preserve"> of this study clearly indicate that </w:t>
      </w:r>
      <w:r w:rsidR="004F1503" w:rsidRPr="00C052CF">
        <w:rPr>
          <w:lang w:val="en-GB"/>
        </w:rPr>
        <w:t xml:space="preserve">OE </w:t>
      </w:r>
      <w:r w:rsidRPr="00C052CF">
        <w:rPr>
          <w:lang w:val="en-GB"/>
        </w:rPr>
        <w:t xml:space="preserve">is not the outcome of isolated practices but rather the result of synergistic interactions across multiple organizational dimensions, including safety. </w:t>
      </w:r>
      <w:r w:rsidR="00F06255" w:rsidRPr="00C052CF">
        <w:rPr>
          <w:lang w:val="en-GB"/>
        </w:rPr>
        <w:t xml:space="preserve">From a practical perspective, </w:t>
      </w:r>
      <w:r w:rsidRPr="00C052CF">
        <w:rPr>
          <w:lang w:val="en-GB"/>
        </w:rPr>
        <w:t>the study offers actionable insights for companies aiming to strengthen their continuous improvement programs, emphasizing the importance of integrated approaches that simultaneously address safety, efficiency, employee development, sustainability, and workplace design.</w:t>
      </w:r>
      <w:r w:rsidR="00C617E3" w:rsidRPr="00C052CF">
        <w:rPr>
          <w:lang w:val="en-GB"/>
        </w:rPr>
        <w:t xml:space="preserve"> </w:t>
      </w:r>
      <w:r w:rsidR="009A55BB" w:rsidRPr="00C052CF">
        <w:rPr>
          <w:lang w:val="en-GB"/>
        </w:rPr>
        <w:t>These considerations</w:t>
      </w:r>
      <w:r w:rsidR="00CF58A7" w:rsidRPr="00C052CF">
        <w:rPr>
          <w:lang w:val="en-GB"/>
        </w:rPr>
        <w:t xml:space="preserve"> also pave the way to develop integrated safety models based on </w:t>
      </w:r>
      <w:r w:rsidR="004F1503" w:rsidRPr="00C052CF">
        <w:rPr>
          <w:lang w:val="en-GB"/>
        </w:rPr>
        <w:t>OE</w:t>
      </w:r>
      <w:r w:rsidR="00CF58A7" w:rsidRPr="00C052CF">
        <w:rPr>
          <w:lang w:val="en-GB"/>
        </w:rPr>
        <w:t xml:space="preserve">. </w:t>
      </w:r>
      <w:r w:rsidR="00290629" w:rsidRPr="00C052CF">
        <w:rPr>
          <w:lang w:val="en-GB"/>
        </w:rPr>
        <w:t xml:space="preserve">Although the </w:t>
      </w:r>
      <w:r w:rsidR="004F1503" w:rsidRPr="00C052CF">
        <w:rPr>
          <w:lang w:val="en-GB"/>
        </w:rPr>
        <w:t xml:space="preserve">primary focus </w:t>
      </w:r>
      <w:r w:rsidR="00290629" w:rsidRPr="00C052CF">
        <w:rPr>
          <w:lang w:val="en-GB"/>
        </w:rPr>
        <w:t xml:space="preserve">of this study is </w:t>
      </w:r>
      <w:r w:rsidR="004F1503" w:rsidRPr="00C052CF">
        <w:rPr>
          <w:lang w:val="en-GB"/>
        </w:rPr>
        <w:t xml:space="preserve">on </w:t>
      </w:r>
      <w:r w:rsidR="00290629" w:rsidRPr="00C052CF">
        <w:rPr>
          <w:lang w:val="en-GB"/>
        </w:rPr>
        <w:t>occupational safety, the findings are potentially relevant to process safety engineering</w:t>
      </w:r>
      <w:r w:rsidR="00C82EE9" w:rsidRPr="00C052CF">
        <w:rPr>
          <w:lang w:val="en-GB"/>
        </w:rPr>
        <w:t>, since t</w:t>
      </w:r>
      <w:r w:rsidR="00290629" w:rsidRPr="00C052CF">
        <w:rPr>
          <w:lang w:val="en-GB"/>
        </w:rPr>
        <w:t xml:space="preserve">he </w:t>
      </w:r>
      <w:r w:rsidR="00C82EE9" w:rsidRPr="00C052CF">
        <w:rPr>
          <w:lang w:val="en-GB"/>
        </w:rPr>
        <w:t xml:space="preserve">OE </w:t>
      </w:r>
      <w:r w:rsidR="00290629" w:rsidRPr="00C052CF">
        <w:rPr>
          <w:lang w:val="en-GB"/>
        </w:rPr>
        <w:t xml:space="preserve">practices investigated here are recognized in the process safety literature as enablers of effective process safety management systems. </w:t>
      </w:r>
      <w:r w:rsidR="003D1F58" w:rsidRPr="00C052CF">
        <w:rPr>
          <w:lang w:val="en-GB"/>
        </w:rPr>
        <w:t>Hence, this study offers insights that are potentially relevant to process safety management as well, particularly in manufacturing contexts where process and occupational risks coexist</w:t>
      </w:r>
      <w:r w:rsidR="00842272" w:rsidRPr="00C052CF">
        <w:rPr>
          <w:lang w:val="en-GB"/>
        </w:rPr>
        <w:t>.</w:t>
      </w:r>
      <w:r w:rsidR="003D1F58" w:rsidRPr="00C052CF">
        <w:rPr>
          <w:lang w:val="en-GB"/>
        </w:rPr>
        <w:t xml:space="preserve"> </w:t>
      </w:r>
      <w:r w:rsidR="00290629" w:rsidRPr="00C052CF">
        <w:rPr>
          <w:lang w:val="en-GB"/>
        </w:rPr>
        <w:t>Future research could explicitly extend this framework to Seveso-regulated establishments and other high-hazard process industries, testing whether the relationships identified here hold in contexts where the consequences of safety failures are catastrophic rather than merely occupational.</w:t>
      </w:r>
    </w:p>
    <w:p w14:paraId="1BEB6D9C" w14:textId="0312F4B9" w:rsidR="00DD0F30" w:rsidRPr="00C052CF" w:rsidRDefault="00DD0F30" w:rsidP="00DD0F30">
      <w:pPr>
        <w:pStyle w:val="CETBodytext"/>
        <w:rPr>
          <w:lang w:val="en-GB"/>
        </w:rPr>
      </w:pPr>
      <w:r w:rsidRPr="00C052CF">
        <w:rPr>
          <w:lang w:val="en-GB"/>
        </w:rPr>
        <w:t xml:space="preserve">From a </w:t>
      </w:r>
      <w:r w:rsidR="00C617E3" w:rsidRPr="00C052CF">
        <w:rPr>
          <w:lang w:val="en-GB"/>
        </w:rPr>
        <w:t xml:space="preserve">scientific </w:t>
      </w:r>
      <w:r w:rsidR="00F06255" w:rsidRPr="00C052CF">
        <w:rPr>
          <w:lang w:val="en-GB"/>
        </w:rPr>
        <w:t>point of view</w:t>
      </w:r>
      <w:r w:rsidRPr="00C052CF">
        <w:rPr>
          <w:lang w:val="en-GB"/>
        </w:rPr>
        <w:t xml:space="preserve">, some limitations of the </w:t>
      </w:r>
      <w:r w:rsidR="00F06255" w:rsidRPr="00C052CF">
        <w:rPr>
          <w:lang w:val="en-GB"/>
        </w:rPr>
        <w:t xml:space="preserve">analyses made </w:t>
      </w:r>
      <w:r w:rsidRPr="00C052CF">
        <w:rPr>
          <w:lang w:val="en-GB"/>
        </w:rPr>
        <w:t xml:space="preserve">should be mentioned. </w:t>
      </w:r>
      <w:r w:rsidR="00F87924" w:rsidRPr="00C052CF">
        <w:rPr>
          <w:lang w:val="en-GB"/>
        </w:rPr>
        <w:t xml:space="preserve">In terms of industry field, </w:t>
      </w:r>
      <w:r w:rsidRPr="00C052CF">
        <w:rPr>
          <w:lang w:val="en-GB"/>
        </w:rPr>
        <w:t>the analysis is limited to the manufacturing sector</w:t>
      </w:r>
      <w:r w:rsidR="004A77E9" w:rsidRPr="00C052CF">
        <w:rPr>
          <w:lang w:val="en-GB"/>
        </w:rPr>
        <w:t xml:space="preserve">, but obviously, </w:t>
      </w:r>
      <w:r w:rsidRPr="00C052CF">
        <w:rPr>
          <w:lang w:val="en-GB"/>
        </w:rPr>
        <w:t xml:space="preserve">the </w:t>
      </w:r>
      <w:r w:rsidR="004A77E9" w:rsidRPr="00C052CF">
        <w:rPr>
          <w:lang w:val="en-GB"/>
        </w:rPr>
        <w:t xml:space="preserve">level of </w:t>
      </w:r>
      <w:r w:rsidRPr="00C052CF">
        <w:rPr>
          <w:lang w:val="en-GB"/>
        </w:rPr>
        <w:t xml:space="preserve">risk </w:t>
      </w:r>
      <w:r w:rsidR="00C617E3" w:rsidRPr="00C052CF">
        <w:rPr>
          <w:lang w:val="en-GB"/>
        </w:rPr>
        <w:t xml:space="preserve">can </w:t>
      </w:r>
      <w:r w:rsidR="004A77E9" w:rsidRPr="00C052CF">
        <w:rPr>
          <w:lang w:val="en-GB"/>
        </w:rPr>
        <w:t>var</w:t>
      </w:r>
      <w:r w:rsidR="00C617E3" w:rsidRPr="00C052CF">
        <w:rPr>
          <w:lang w:val="en-GB"/>
        </w:rPr>
        <w:t>y</w:t>
      </w:r>
      <w:r w:rsidR="004A77E9" w:rsidRPr="00C052CF">
        <w:rPr>
          <w:lang w:val="en-GB"/>
        </w:rPr>
        <w:t xml:space="preserve"> across different </w:t>
      </w:r>
      <w:r w:rsidRPr="00C052CF">
        <w:rPr>
          <w:lang w:val="en-GB"/>
        </w:rPr>
        <w:t>industrial environments</w:t>
      </w:r>
      <w:r w:rsidR="004A77E9" w:rsidRPr="00C052CF">
        <w:rPr>
          <w:lang w:val="en-GB"/>
        </w:rPr>
        <w:t xml:space="preserve"> and can also </w:t>
      </w:r>
      <w:r w:rsidR="00AC32E0" w:rsidRPr="00C052CF">
        <w:rPr>
          <w:lang w:val="en-GB"/>
        </w:rPr>
        <w:t xml:space="preserve">depend on the specific segment </w:t>
      </w:r>
      <w:r w:rsidR="00C617E3" w:rsidRPr="00C052CF">
        <w:rPr>
          <w:lang w:val="en-GB"/>
        </w:rPr>
        <w:t xml:space="preserve">withing </w:t>
      </w:r>
      <w:r w:rsidR="00AC32E0" w:rsidRPr="00C052CF">
        <w:rPr>
          <w:lang w:val="en-GB"/>
        </w:rPr>
        <w:t>the same industrial sector; safety</w:t>
      </w:r>
      <w:r w:rsidR="00181B86" w:rsidRPr="00C052CF">
        <w:rPr>
          <w:lang w:val="en-GB"/>
        </w:rPr>
        <w:t>-related perspectives are therefore expected to be different too</w:t>
      </w:r>
      <w:r w:rsidRPr="00C052CF">
        <w:rPr>
          <w:lang w:val="en-GB"/>
        </w:rPr>
        <w:t xml:space="preserve">. </w:t>
      </w:r>
      <w:r w:rsidR="008B571A" w:rsidRPr="00C052CF">
        <w:rPr>
          <w:lang w:val="en-GB"/>
        </w:rPr>
        <w:t xml:space="preserve">More specific outcomes could be obtained by </w:t>
      </w:r>
      <w:r w:rsidR="008B571A" w:rsidRPr="00C052CF">
        <w:rPr>
          <w:lang w:val="en-GB"/>
        </w:rPr>
        <w:lastRenderedPageBreak/>
        <w:t xml:space="preserve">analysing market segments </w:t>
      </w:r>
      <w:r w:rsidR="00B50684" w:rsidRPr="00C052CF">
        <w:rPr>
          <w:lang w:val="en-GB"/>
        </w:rPr>
        <w:t>instead of the overall manufacturing sector, while more general outcomes could be derived if adding further industrial sectors to the analysis</w:t>
      </w:r>
      <w:r w:rsidR="00AF13AF" w:rsidRPr="00C052CF">
        <w:rPr>
          <w:lang w:val="en-GB"/>
        </w:rPr>
        <w:t>; these aspects are left for future studies</w:t>
      </w:r>
      <w:r w:rsidRPr="00C052CF">
        <w:rPr>
          <w:lang w:val="en-GB"/>
        </w:rPr>
        <w:t>.</w:t>
      </w:r>
    </w:p>
    <w:p w14:paraId="4F1327F8" w14:textId="77777777" w:rsidR="00600535" w:rsidRPr="00C052CF" w:rsidRDefault="00600535" w:rsidP="00600535">
      <w:pPr>
        <w:pStyle w:val="CETReference"/>
      </w:pPr>
      <w:r w:rsidRPr="00C052CF">
        <w:t>References</w:t>
      </w:r>
    </w:p>
    <w:p w14:paraId="54FB2FFB" w14:textId="0748D616" w:rsidR="00C65B19" w:rsidRPr="00C052CF" w:rsidRDefault="00C65B19" w:rsidP="00254812">
      <w:pPr>
        <w:pStyle w:val="CETReferencetext"/>
      </w:pPr>
      <w:r w:rsidRPr="00C052CF">
        <w:t>Adekitan A., 2020, Safety integrated with quality management as operational excellence tool in the aviation fuel industry, Engineering Review, 40(3), 13-20</w:t>
      </w:r>
      <w:r w:rsidR="00EF5149" w:rsidRPr="00C052CF">
        <w:t>.</w:t>
      </w:r>
    </w:p>
    <w:p w14:paraId="37AFA611" w14:textId="6B866BC7" w:rsidR="00C65B19" w:rsidRPr="00C052CF" w:rsidRDefault="00C65B19" w:rsidP="00254812">
      <w:pPr>
        <w:pStyle w:val="CETReferencetext"/>
        <w:rPr>
          <w:lang w:val="en-US"/>
        </w:rPr>
      </w:pPr>
      <w:r w:rsidRPr="00C052CF">
        <w:rPr>
          <w:lang w:val="en-US"/>
        </w:rPr>
        <w:t>Alguirat I., Lehyani F., Zouari A., 2024, Impact of lean management on work safety and operational excellence within Tunisian companies, International Journal of Lean Six Sigma</w:t>
      </w:r>
      <w:r w:rsidR="00F84976" w:rsidRPr="00C052CF">
        <w:rPr>
          <w:lang w:val="en-US"/>
        </w:rPr>
        <w:t>, 15(3), 588–613.</w:t>
      </w:r>
    </w:p>
    <w:p w14:paraId="6882A2DB" w14:textId="156FE293" w:rsidR="00C65B19" w:rsidRPr="00C052CF" w:rsidRDefault="00C65B19" w:rsidP="00254812">
      <w:pPr>
        <w:pStyle w:val="CETReferencetext"/>
      </w:pPr>
      <w:r w:rsidRPr="00C052CF">
        <w:t>Boone H. J., and Boone, A., 2012, Analyzing Likert Data, Journal of Extension, 50(2)</w:t>
      </w:r>
      <w:r w:rsidR="00F175F0" w:rsidRPr="00C052CF">
        <w:t>, article no. 2TOT2</w:t>
      </w:r>
    </w:p>
    <w:p w14:paraId="76AE8CBD" w14:textId="750AE0AA" w:rsidR="00C65B19" w:rsidRPr="00C052CF" w:rsidRDefault="00C65B19" w:rsidP="00CF2198">
      <w:pPr>
        <w:pStyle w:val="CETReferencetext"/>
      </w:pPr>
      <w:r w:rsidRPr="00C052CF">
        <w:rPr>
          <w:lang w:val="en-US"/>
        </w:rPr>
        <w:t xml:space="preserve">Bortolotti T., Boscari S., Danese P., 2015, </w:t>
      </w:r>
      <w:r w:rsidRPr="00C052CF">
        <w:t>Successful lean implementation: Organizational culture and soft lean practices, International Journal of Production Economics, 160, 182–201</w:t>
      </w:r>
      <w:r w:rsidR="00C07354" w:rsidRPr="00C052CF">
        <w:t>.</w:t>
      </w:r>
    </w:p>
    <w:p w14:paraId="39175A9E" w14:textId="54FA398F" w:rsidR="00C07354" w:rsidRPr="00C052CF" w:rsidRDefault="00C07354" w:rsidP="00CF2198">
      <w:pPr>
        <w:pStyle w:val="CETReferencetext"/>
      </w:pPr>
      <w:r w:rsidRPr="00C052CF">
        <w:t>Carra S., Di Girolamo C., Vignali G., Monica L., Ansaldi S.M., 2024, Emerging Good Maintenance Practices in Italian Seveso Sites: Analysis of Experiences from an Industrial Case Study and from a National Near Miss Repository, Chemical Engineering Transactions, 111, 49-54.</w:t>
      </w:r>
    </w:p>
    <w:p w14:paraId="1966213F" w14:textId="4EF84119" w:rsidR="00C65B19" w:rsidRPr="00C052CF" w:rsidRDefault="00C65B19" w:rsidP="00254812">
      <w:pPr>
        <w:pStyle w:val="CETReferencetext"/>
      </w:pPr>
      <w:r w:rsidRPr="00C052CF">
        <w:t>Cudney E.A., Murray S.L., Pai, P., 2015, Relationship between lean and safety, International Journal of Lean Enterprise Research, 1(3), 217-231</w:t>
      </w:r>
      <w:r w:rsidR="005E0D1B" w:rsidRPr="00C052CF">
        <w:t>.</w:t>
      </w:r>
    </w:p>
    <w:p w14:paraId="35CDB322" w14:textId="3B766355" w:rsidR="00C65B19" w:rsidRPr="00C052CF" w:rsidRDefault="00C65B19" w:rsidP="00254812">
      <w:pPr>
        <w:pStyle w:val="CETReferencetext"/>
      </w:pPr>
      <w:r w:rsidRPr="00C052CF">
        <w:rPr>
          <w:lang w:val="en-US"/>
        </w:rPr>
        <w:t xml:space="preserve">Dornfeld, H., da Silva Mansano, A., Borges, R., Oliveira, M., Paulillo, L., 2021, </w:t>
      </w:r>
      <w:r w:rsidRPr="00C052CF">
        <w:t>Impact of environmental strategies and practices on the socioeconomic development of the Brazilian sugar-energy sector, Clean Technologies and Environmental Policy, 23(9), 2655-2668</w:t>
      </w:r>
      <w:r w:rsidR="005E0D1B" w:rsidRPr="00C052CF">
        <w:t>.</w:t>
      </w:r>
    </w:p>
    <w:p w14:paraId="2F5DF957" w14:textId="77777777" w:rsidR="00C65B19" w:rsidRPr="00C052CF" w:rsidRDefault="00C65B19" w:rsidP="00254812">
      <w:pPr>
        <w:pStyle w:val="CETReferencetext"/>
      </w:pPr>
      <w:r w:rsidRPr="00C052CF">
        <w:t>El Affaki O., Benhadou M., Haddout A., 2025, Operational Excellence supported by Lean Management Tools, IATF 16949 Automotive Standard, and Industry 4.0 Pillars: Evidence from Automotive Companies in Morocco, Engineering, Technology and Applied Science Research, 15(3), 22718-22724</w:t>
      </w:r>
    </w:p>
    <w:p w14:paraId="43335E37" w14:textId="300288B6" w:rsidR="00C65B19" w:rsidRPr="00C052CF" w:rsidRDefault="00C65B19" w:rsidP="00254812">
      <w:pPr>
        <w:pStyle w:val="CETReferencetext"/>
      </w:pPr>
      <w:r w:rsidRPr="00C052CF">
        <w:t>Furman, J. and Małysa, T., 2023, The role of visual management in the organization of safe work in production companies, Production Engineering Archives, 29(2), 195-200</w:t>
      </w:r>
      <w:r w:rsidR="005E0D1B" w:rsidRPr="00C052CF">
        <w:t>.</w:t>
      </w:r>
    </w:p>
    <w:p w14:paraId="24B23521" w14:textId="77777777" w:rsidR="00C65B19" w:rsidRPr="00C052CF" w:rsidRDefault="00C65B19" w:rsidP="00254812">
      <w:pPr>
        <w:pStyle w:val="CETReferencetext"/>
        <w:rPr>
          <w:lang w:val="en-US"/>
        </w:rPr>
      </w:pPr>
      <w:r w:rsidRPr="00C052CF">
        <w:rPr>
          <w:lang w:val="en-US"/>
        </w:rPr>
        <w:t>Gauss L., Noal L.C., Lacerda D.P.,</w:t>
      </w:r>
      <w:r w:rsidRPr="00C052CF">
        <w:t xml:space="preserve"> </w:t>
      </w:r>
      <w:r w:rsidRPr="00C052CF">
        <w:rPr>
          <w:lang w:val="en-US"/>
        </w:rPr>
        <w:t>Öhman M., Romme A.G.L., 2026, Designing for operational excellence: integrating lean production and theory of constraints in a greenfield setting, Operations Management Research, doi:</w:t>
      </w:r>
      <w:r w:rsidRPr="00C052CF">
        <w:t xml:space="preserve"> </w:t>
      </w:r>
      <w:r w:rsidRPr="00C052CF">
        <w:rPr>
          <w:lang w:val="en-US"/>
        </w:rPr>
        <w:t>10.1007/s12063-025-00567-8</w:t>
      </w:r>
    </w:p>
    <w:p w14:paraId="7F312570" w14:textId="77777777" w:rsidR="00C65B19" w:rsidRPr="00C052CF" w:rsidRDefault="00C65B19" w:rsidP="00254812">
      <w:pPr>
        <w:pStyle w:val="CETReferencetext"/>
      </w:pPr>
      <w:proofErr w:type="gramStart"/>
      <w:r w:rsidRPr="00C052CF">
        <w:t>Hajmohammad,S.</w:t>
      </w:r>
      <w:proofErr w:type="gramEnd"/>
      <w:r w:rsidRPr="00C052CF">
        <w:t xml:space="preserve">, </w:t>
      </w:r>
      <w:proofErr w:type="gramStart"/>
      <w:r w:rsidRPr="00C052CF">
        <w:t>Vachon,S.</w:t>
      </w:r>
      <w:proofErr w:type="gramEnd"/>
      <w:r w:rsidRPr="00C052CF">
        <w:t>, Klassen, R.D., Gavronski, I., 2013, Lean management and supply management: their role in green practices and performance, Journal of Cleaner Production, 39, 312-320</w:t>
      </w:r>
    </w:p>
    <w:p w14:paraId="1B76292F" w14:textId="0D69090A" w:rsidR="00C65B19" w:rsidRPr="00C052CF" w:rsidRDefault="00C65B19" w:rsidP="00254812">
      <w:pPr>
        <w:pStyle w:val="CETReferencetext"/>
      </w:pPr>
      <w:r w:rsidRPr="00C052CF">
        <w:t>Hansen L., 2005, Stepping up to operational safety excellence, Occupational Hazards, 43-47</w:t>
      </w:r>
      <w:r w:rsidR="00690ACD" w:rsidRPr="00C052CF">
        <w:t>.</w:t>
      </w:r>
    </w:p>
    <w:p w14:paraId="1F16AE58" w14:textId="77777777" w:rsidR="00C65B19" w:rsidRPr="00C052CF" w:rsidRDefault="00C65B19" w:rsidP="003B750F">
      <w:pPr>
        <w:pStyle w:val="CETReferencetext"/>
      </w:pPr>
      <w:r w:rsidRPr="00C052CF">
        <w:t>Hasle P., Bojesen A., Langaa Jensen P., Bramming P., 2012, Lean and the working environment: a review of the literature", International Journal of Operations &amp; Production Management, 32(7), 829–849</w:t>
      </w:r>
    </w:p>
    <w:p w14:paraId="442B1746" w14:textId="77777777" w:rsidR="00C65B19" w:rsidRPr="00C052CF" w:rsidRDefault="00C65B19" w:rsidP="00AF786F">
      <w:pPr>
        <w:pStyle w:val="CETReferencetext"/>
      </w:pPr>
      <w:r w:rsidRPr="00C052CF">
        <w:t xml:space="preserve">Hopkins, A. (2009). Failure to learn: The BP Texas City refinery disaster. CCH Australia. </w:t>
      </w:r>
    </w:p>
    <w:p w14:paraId="44289FD6" w14:textId="77777777" w:rsidR="00C65B19" w:rsidRPr="00C052CF" w:rsidRDefault="00C65B19" w:rsidP="003B750F">
      <w:pPr>
        <w:pStyle w:val="CETReferencetext"/>
      </w:pPr>
      <w:r w:rsidRPr="00C052CF">
        <w:t>Kline, R. B. 2016, Principles and practice of structural equation modelling (4</w:t>
      </w:r>
      <w:r w:rsidRPr="00C052CF">
        <w:rPr>
          <w:vertAlign w:val="superscript"/>
        </w:rPr>
        <w:t>th</w:t>
      </w:r>
      <w:r w:rsidRPr="00C052CF">
        <w:t xml:space="preserve"> ed.), New York, NY: Guilford Press</w:t>
      </w:r>
    </w:p>
    <w:p w14:paraId="6588B28D" w14:textId="2BDA6F3E" w:rsidR="00C65B19" w:rsidRPr="00C052CF" w:rsidRDefault="00C65B19" w:rsidP="002E314C">
      <w:pPr>
        <w:pStyle w:val="CETReferencetext"/>
      </w:pPr>
      <w:r w:rsidRPr="00C052CF">
        <w:t>La Duke P. 2008, The role of safety in operational excellence</w:t>
      </w:r>
      <w:r w:rsidR="00690ACD" w:rsidRPr="00C052CF">
        <w:t>. Available at:</w:t>
      </w:r>
      <w:r w:rsidRPr="00C052CF">
        <w:t xml:space="preserve"> </w:t>
      </w:r>
      <w:hyperlink r:id="rId14" w:history="1">
        <w:r w:rsidRPr="00C052CF">
          <w:rPr>
            <w:rStyle w:val="Collegamentoipertestuale"/>
          </w:rPr>
          <w:t>https://www.slideshare.net/ladukepcq/role-of-safety-in-ops-ex-1368677</w:t>
        </w:r>
      </w:hyperlink>
    </w:p>
    <w:p w14:paraId="4836B4F2" w14:textId="75EA6FDE" w:rsidR="00C65B19" w:rsidRPr="00C052CF" w:rsidRDefault="00C65B19" w:rsidP="002E314C">
      <w:pPr>
        <w:pStyle w:val="CETReferencetext"/>
      </w:pPr>
      <w:r w:rsidRPr="00C052CF">
        <w:t>Malhotra M. and Grover V., 1998, An assessment of survey research in POM: from constructs to theory, Journal of Operations Management, 16(4), 407-425</w:t>
      </w:r>
    </w:p>
    <w:p w14:paraId="75C88D10" w14:textId="3DD28964" w:rsidR="00C65B19" w:rsidRPr="00C052CF" w:rsidRDefault="00C65B19" w:rsidP="002E314C">
      <w:pPr>
        <w:pStyle w:val="CETReferencetext"/>
      </w:pPr>
      <w:r w:rsidRPr="00C052CF">
        <w:rPr>
          <w:noProof/>
          <w:lang w:val="en-US"/>
        </w:rPr>
        <w:t>Nastasi J. Tassistro I., Gravina N.</w:t>
      </w:r>
      <w:r w:rsidRPr="00C052CF">
        <w:rPr>
          <w:lang w:val="en-US"/>
        </w:rPr>
        <w:t xml:space="preserve">, 2023, </w:t>
      </w:r>
      <w:r w:rsidRPr="00C052CF">
        <w:t>Breaks and productivity: An exploratory analysis, Journal of Applied Behavior Analysis, 56(3), 539-548</w:t>
      </w:r>
    </w:p>
    <w:p w14:paraId="29D8A742" w14:textId="44D48F31" w:rsidR="00C65B19" w:rsidRPr="00C052CF" w:rsidRDefault="00C65B19" w:rsidP="002E314C">
      <w:pPr>
        <w:pStyle w:val="CETReferencetext"/>
      </w:pPr>
      <w:r w:rsidRPr="00C052CF">
        <w:t>Nolan-McSweeney M., Ryan B., Cobb S., 2023, Interviews with rail industry leaders about systems thinking in the management of organisational change and risk management, Safety Science, 164</w:t>
      </w:r>
      <w:r w:rsidR="002D3960" w:rsidRPr="00C052CF">
        <w:t>, article no. 106168</w:t>
      </w:r>
    </w:p>
    <w:p w14:paraId="77955FF9" w14:textId="332EA48A" w:rsidR="00C65B19" w:rsidRPr="00C052CF" w:rsidRDefault="00C65B19" w:rsidP="002E314C">
      <w:pPr>
        <w:pStyle w:val="CETReferencetext"/>
      </w:pPr>
      <w:r w:rsidRPr="00C052CF">
        <w:t>Pagell M. and Gobeli D., 2009, How Plant Managers' Experiences and Attitudes Toward Sustainability Relate to Operational Performance, Production and Operations Management, 18(3), 278-299</w:t>
      </w:r>
      <w:r w:rsidR="00690ACD" w:rsidRPr="00C052CF">
        <w:t>.</w:t>
      </w:r>
    </w:p>
    <w:p w14:paraId="388FBADC" w14:textId="77777777" w:rsidR="00C65B19" w:rsidRPr="00C052CF" w:rsidRDefault="00C65B19" w:rsidP="00AF786F">
      <w:pPr>
        <w:pStyle w:val="CETReferencetext"/>
      </w:pPr>
      <w:r w:rsidRPr="00C052CF">
        <w:t xml:space="preserve">Pasman, H., Jung, S., Prem, K., Rogers, W., Yang, X. (2009). Is risk analysis a useful tool for improving process safety? Journal of Loss Prevention in the Process Industries, 22(6), 769–777. </w:t>
      </w:r>
    </w:p>
    <w:p w14:paraId="6AF7B2EF" w14:textId="687C4F64" w:rsidR="00C65B19" w:rsidRPr="00C052CF" w:rsidRDefault="00C65B19" w:rsidP="00C65B19">
      <w:pPr>
        <w:pStyle w:val="CETReferencetext"/>
      </w:pPr>
      <w:r w:rsidRPr="00C052CF">
        <w:t>Stefana, E., &amp; Paltrinieri, N. (2020). Integration between occupational and process safety: Existing approaches and challenges for an enhanced framework. Chemical Engineering Transactions, 82.</w:t>
      </w:r>
    </w:p>
    <w:p w14:paraId="3B986346" w14:textId="7B93C1A1" w:rsidR="00C65B19" w:rsidRPr="00C052CF" w:rsidRDefault="00C65B19" w:rsidP="002E314C">
      <w:pPr>
        <w:pStyle w:val="CETReferencetext"/>
      </w:pPr>
      <w:r w:rsidRPr="00C052CF">
        <w:t>Taube M. and Gardner F., 2022, Making zero a reality: Selecting and measuring the “Right” Zero, Process Safety Progress, 41(2), 226-235</w:t>
      </w:r>
      <w:r w:rsidR="002D3960" w:rsidRPr="00C052CF">
        <w:t>.</w:t>
      </w:r>
    </w:p>
    <w:p w14:paraId="5A9E88C4" w14:textId="707E8CBA" w:rsidR="005A5932" w:rsidRPr="00C052CF" w:rsidRDefault="005A5932" w:rsidP="005A5932">
      <w:pPr>
        <w:pStyle w:val="CETReferencetext"/>
      </w:pPr>
      <w:r w:rsidRPr="00C052CF">
        <w:t xml:space="preserve">Wahab M. H. Al-A. A., Ibrahim N., Yaacob A. A., Ismail M., </w:t>
      </w:r>
      <w:proofErr w:type="spellStart"/>
      <w:r w:rsidRPr="00C052CF">
        <w:t>Muhayiddin</w:t>
      </w:r>
      <w:proofErr w:type="spellEnd"/>
      <w:r w:rsidRPr="00C052CF">
        <w:t xml:space="preserve"> M. N., Ab Rahman S. M., Osman A. A., 2022. The Internal Environmental Factors and Operational Excellence: The Moderating Effect of External Environmental Factor in SMEs Manufacturing Sectors, International Journal of Academic Research in Business and Social Sciences, 12(5), 1448 – 1459.</w:t>
      </w:r>
    </w:p>
    <w:p w14:paraId="6025565C" w14:textId="2ED2AA87" w:rsidR="00C65B19" w:rsidRDefault="00C65B19" w:rsidP="00BC256C">
      <w:pPr>
        <w:pStyle w:val="CETReferencetext"/>
      </w:pPr>
      <w:r w:rsidRPr="00C052CF">
        <w:t>Zhu Y., Quansah P., Obeng A., Minyu G., 2023, High-performance work systems and safety performance in the mining sector: exploring the mediating influence of workforce agility and moderating effect of safety locus of control, Current Psychology, 42(29), 25100–25126</w:t>
      </w:r>
      <w:r w:rsidR="002D3960" w:rsidRPr="00C052CF">
        <w:t>.</w:t>
      </w:r>
    </w:p>
    <w:p w14:paraId="4FAA9AFB" w14:textId="77777777" w:rsidR="00B4473F" w:rsidRPr="00BC256C" w:rsidRDefault="00B4473F" w:rsidP="00AF786F">
      <w:pPr>
        <w:pStyle w:val="CETReferencetext"/>
        <w:rPr>
          <w:lang w:val="en-US"/>
        </w:rPr>
      </w:pPr>
    </w:p>
    <w:sectPr w:rsidR="00B4473F" w:rsidRPr="00BC256C"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BD14" w14:textId="77777777" w:rsidR="002D15C0" w:rsidRPr="00E102D7" w:rsidRDefault="002D15C0" w:rsidP="004F5E36">
      <w:r w:rsidRPr="00E102D7">
        <w:separator/>
      </w:r>
    </w:p>
  </w:endnote>
  <w:endnote w:type="continuationSeparator" w:id="0">
    <w:p w14:paraId="6B8CD41E" w14:textId="77777777" w:rsidR="002D15C0" w:rsidRPr="00E102D7" w:rsidRDefault="002D15C0" w:rsidP="004F5E36">
      <w:r w:rsidRPr="00E102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2211" w14:textId="77777777" w:rsidR="002D15C0" w:rsidRPr="00E102D7" w:rsidRDefault="002D15C0" w:rsidP="004F5E36">
      <w:r w:rsidRPr="00E102D7">
        <w:separator/>
      </w:r>
    </w:p>
  </w:footnote>
  <w:footnote w:type="continuationSeparator" w:id="0">
    <w:p w14:paraId="0E59BD2D" w14:textId="77777777" w:rsidR="002D15C0" w:rsidRPr="00E102D7" w:rsidRDefault="002D15C0" w:rsidP="004F5E36">
      <w:r w:rsidRPr="00E102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5721757"/>
    <w:multiLevelType w:val="hybridMultilevel"/>
    <w:tmpl w:val="1504ADFC"/>
    <w:lvl w:ilvl="0" w:tplc="35AECE1E">
      <w:start w:val="1"/>
      <w:numFmt w:val="bullet"/>
      <w:lvlText w:val=""/>
      <w:lvlJc w:val="left"/>
      <w:pPr>
        <w:ind w:left="720" w:hanging="360"/>
      </w:pPr>
      <w:rPr>
        <w:rFonts w:ascii="Symbol" w:hAnsi="Symbol"/>
      </w:rPr>
    </w:lvl>
    <w:lvl w:ilvl="1" w:tplc="D764D238">
      <w:start w:val="1"/>
      <w:numFmt w:val="bullet"/>
      <w:lvlText w:val=""/>
      <w:lvlJc w:val="left"/>
      <w:pPr>
        <w:ind w:left="720" w:hanging="360"/>
      </w:pPr>
      <w:rPr>
        <w:rFonts w:ascii="Symbol" w:hAnsi="Symbol"/>
      </w:rPr>
    </w:lvl>
    <w:lvl w:ilvl="2" w:tplc="41EC4564">
      <w:start w:val="1"/>
      <w:numFmt w:val="bullet"/>
      <w:lvlText w:val=""/>
      <w:lvlJc w:val="left"/>
      <w:pPr>
        <w:ind w:left="720" w:hanging="360"/>
      </w:pPr>
      <w:rPr>
        <w:rFonts w:ascii="Symbol" w:hAnsi="Symbol"/>
      </w:rPr>
    </w:lvl>
    <w:lvl w:ilvl="3" w:tplc="72B885D2">
      <w:start w:val="1"/>
      <w:numFmt w:val="bullet"/>
      <w:lvlText w:val=""/>
      <w:lvlJc w:val="left"/>
      <w:pPr>
        <w:ind w:left="720" w:hanging="360"/>
      </w:pPr>
      <w:rPr>
        <w:rFonts w:ascii="Symbol" w:hAnsi="Symbol"/>
      </w:rPr>
    </w:lvl>
    <w:lvl w:ilvl="4" w:tplc="4FDAD328">
      <w:start w:val="1"/>
      <w:numFmt w:val="bullet"/>
      <w:lvlText w:val=""/>
      <w:lvlJc w:val="left"/>
      <w:pPr>
        <w:ind w:left="720" w:hanging="360"/>
      </w:pPr>
      <w:rPr>
        <w:rFonts w:ascii="Symbol" w:hAnsi="Symbol"/>
      </w:rPr>
    </w:lvl>
    <w:lvl w:ilvl="5" w:tplc="5BFAE1B0">
      <w:start w:val="1"/>
      <w:numFmt w:val="bullet"/>
      <w:lvlText w:val=""/>
      <w:lvlJc w:val="left"/>
      <w:pPr>
        <w:ind w:left="720" w:hanging="360"/>
      </w:pPr>
      <w:rPr>
        <w:rFonts w:ascii="Symbol" w:hAnsi="Symbol"/>
      </w:rPr>
    </w:lvl>
    <w:lvl w:ilvl="6" w:tplc="BB880712">
      <w:start w:val="1"/>
      <w:numFmt w:val="bullet"/>
      <w:lvlText w:val=""/>
      <w:lvlJc w:val="left"/>
      <w:pPr>
        <w:ind w:left="720" w:hanging="360"/>
      </w:pPr>
      <w:rPr>
        <w:rFonts w:ascii="Symbol" w:hAnsi="Symbol"/>
      </w:rPr>
    </w:lvl>
    <w:lvl w:ilvl="7" w:tplc="9C946CEC">
      <w:start w:val="1"/>
      <w:numFmt w:val="bullet"/>
      <w:lvlText w:val=""/>
      <w:lvlJc w:val="left"/>
      <w:pPr>
        <w:ind w:left="720" w:hanging="360"/>
      </w:pPr>
      <w:rPr>
        <w:rFonts w:ascii="Symbol" w:hAnsi="Symbol"/>
      </w:rPr>
    </w:lvl>
    <w:lvl w:ilvl="8" w:tplc="F0BE68A0">
      <w:start w:val="1"/>
      <w:numFmt w:val="bullet"/>
      <w:lvlText w:val=""/>
      <w:lvlJc w:val="left"/>
      <w:pPr>
        <w:ind w:left="720" w:hanging="360"/>
      </w:pPr>
      <w:rPr>
        <w:rFonts w:ascii="Symbol" w:hAnsi="Symbol"/>
      </w:rPr>
    </w:lvl>
  </w:abstractNum>
  <w:abstractNum w:abstractNumId="11" w15:restartNumberingAfterBreak="0">
    <w:nsid w:val="2438217E"/>
    <w:multiLevelType w:val="multilevel"/>
    <w:tmpl w:val="B6E6396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FE4368"/>
    <w:multiLevelType w:val="hybridMultilevel"/>
    <w:tmpl w:val="51941434"/>
    <w:lvl w:ilvl="0" w:tplc="5836AB80">
      <w:start w:val="1"/>
      <w:numFmt w:val="bullet"/>
      <w:lvlText w:val=""/>
      <w:lvlJc w:val="left"/>
      <w:pPr>
        <w:ind w:left="1440" w:hanging="360"/>
      </w:pPr>
      <w:rPr>
        <w:rFonts w:ascii="Symbol" w:hAnsi="Symbol"/>
      </w:rPr>
    </w:lvl>
    <w:lvl w:ilvl="1" w:tplc="F6A6C1B6">
      <w:start w:val="1"/>
      <w:numFmt w:val="bullet"/>
      <w:lvlText w:val=""/>
      <w:lvlJc w:val="left"/>
      <w:pPr>
        <w:ind w:left="1440" w:hanging="360"/>
      </w:pPr>
      <w:rPr>
        <w:rFonts w:ascii="Symbol" w:hAnsi="Symbol"/>
      </w:rPr>
    </w:lvl>
    <w:lvl w:ilvl="2" w:tplc="1ED671A2">
      <w:start w:val="1"/>
      <w:numFmt w:val="bullet"/>
      <w:lvlText w:val=""/>
      <w:lvlJc w:val="left"/>
      <w:pPr>
        <w:ind w:left="1440" w:hanging="360"/>
      </w:pPr>
      <w:rPr>
        <w:rFonts w:ascii="Symbol" w:hAnsi="Symbol"/>
      </w:rPr>
    </w:lvl>
    <w:lvl w:ilvl="3" w:tplc="CE38F5FC">
      <w:start w:val="1"/>
      <w:numFmt w:val="bullet"/>
      <w:lvlText w:val=""/>
      <w:lvlJc w:val="left"/>
      <w:pPr>
        <w:ind w:left="1440" w:hanging="360"/>
      </w:pPr>
      <w:rPr>
        <w:rFonts w:ascii="Symbol" w:hAnsi="Symbol"/>
      </w:rPr>
    </w:lvl>
    <w:lvl w:ilvl="4" w:tplc="4FEEEA5A">
      <w:start w:val="1"/>
      <w:numFmt w:val="bullet"/>
      <w:lvlText w:val=""/>
      <w:lvlJc w:val="left"/>
      <w:pPr>
        <w:ind w:left="1440" w:hanging="360"/>
      </w:pPr>
      <w:rPr>
        <w:rFonts w:ascii="Symbol" w:hAnsi="Symbol"/>
      </w:rPr>
    </w:lvl>
    <w:lvl w:ilvl="5" w:tplc="36E453A6">
      <w:start w:val="1"/>
      <w:numFmt w:val="bullet"/>
      <w:lvlText w:val=""/>
      <w:lvlJc w:val="left"/>
      <w:pPr>
        <w:ind w:left="1440" w:hanging="360"/>
      </w:pPr>
      <w:rPr>
        <w:rFonts w:ascii="Symbol" w:hAnsi="Symbol"/>
      </w:rPr>
    </w:lvl>
    <w:lvl w:ilvl="6" w:tplc="68422B64">
      <w:start w:val="1"/>
      <w:numFmt w:val="bullet"/>
      <w:lvlText w:val=""/>
      <w:lvlJc w:val="left"/>
      <w:pPr>
        <w:ind w:left="1440" w:hanging="360"/>
      </w:pPr>
      <w:rPr>
        <w:rFonts w:ascii="Symbol" w:hAnsi="Symbol"/>
      </w:rPr>
    </w:lvl>
    <w:lvl w:ilvl="7" w:tplc="F81C06BA">
      <w:start w:val="1"/>
      <w:numFmt w:val="bullet"/>
      <w:lvlText w:val=""/>
      <w:lvlJc w:val="left"/>
      <w:pPr>
        <w:ind w:left="1440" w:hanging="360"/>
      </w:pPr>
      <w:rPr>
        <w:rFonts w:ascii="Symbol" w:hAnsi="Symbol"/>
      </w:rPr>
    </w:lvl>
    <w:lvl w:ilvl="8" w:tplc="6EAAE0AA">
      <w:start w:val="1"/>
      <w:numFmt w:val="bullet"/>
      <w:lvlText w:val=""/>
      <w:lvlJc w:val="left"/>
      <w:pPr>
        <w:ind w:left="1440" w:hanging="360"/>
      </w:pPr>
      <w:rPr>
        <w:rFonts w:ascii="Symbol" w:hAnsi="Symbol"/>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6"/>
  </w:num>
  <w:num w:numId="21" w16cid:durableId="124660497">
    <w:abstractNumId w:val="15"/>
  </w:num>
  <w:num w:numId="22" w16cid:durableId="2099861471">
    <w:abstractNumId w:val="14"/>
  </w:num>
  <w:num w:numId="23" w16cid:durableId="642270554">
    <w:abstractNumId w:val="11"/>
  </w:num>
  <w:num w:numId="24" w16cid:durableId="865214012">
    <w:abstractNumId w:val="17"/>
  </w:num>
  <w:num w:numId="25" w16cid:durableId="258174150">
    <w:abstractNumId w:val="10"/>
  </w:num>
  <w:num w:numId="26" w16cid:durableId="298535410">
    <w:abstractNumId w:val="11"/>
  </w:num>
  <w:num w:numId="27" w16cid:durableId="160341825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000822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568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E13"/>
    <w:rsid w:val="000043B0"/>
    <w:rsid w:val="000052FB"/>
    <w:rsid w:val="00005884"/>
    <w:rsid w:val="00005A19"/>
    <w:rsid w:val="000117CB"/>
    <w:rsid w:val="00015B9D"/>
    <w:rsid w:val="00026140"/>
    <w:rsid w:val="0003148D"/>
    <w:rsid w:val="00031EEC"/>
    <w:rsid w:val="00036FB7"/>
    <w:rsid w:val="000372C7"/>
    <w:rsid w:val="00040B68"/>
    <w:rsid w:val="0004128F"/>
    <w:rsid w:val="00041466"/>
    <w:rsid w:val="00043C5E"/>
    <w:rsid w:val="000479BD"/>
    <w:rsid w:val="00051566"/>
    <w:rsid w:val="00052B9A"/>
    <w:rsid w:val="00052C7A"/>
    <w:rsid w:val="000559F1"/>
    <w:rsid w:val="000562A9"/>
    <w:rsid w:val="00056F84"/>
    <w:rsid w:val="00057371"/>
    <w:rsid w:val="000623B0"/>
    <w:rsid w:val="000626BC"/>
    <w:rsid w:val="00062A9A"/>
    <w:rsid w:val="00065058"/>
    <w:rsid w:val="00065919"/>
    <w:rsid w:val="00067D12"/>
    <w:rsid w:val="000822BF"/>
    <w:rsid w:val="00086C39"/>
    <w:rsid w:val="000872A1"/>
    <w:rsid w:val="000A03B2"/>
    <w:rsid w:val="000A0876"/>
    <w:rsid w:val="000A70C4"/>
    <w:rsid w:val="000A7C03"/>
    <w:rsid w:val="000B4704"/>
    <w:rsid w:val="000B5BED"/>
    <w:rsid w:val="000B5D9C"/>
    <w:rsid w:val="000B5EF5"/>
    <w:rsid w:val="000B7597"/>
    <w:rsid w:val="000C2687"/>
    <w:rsid w:val="000C31ED"/>
    <w:rsid w:val="000C3674"/>
    <w:rsid w:val="000C704E"/>
    <w:rsid w:val="000C74B3"/>
    <w:rsid w:val="000D0268"/>
    <w:rsid w:val="000D0301"/>
    <w:rsid w:val="000D34BE"/>
    <w:rsid w:val="000D5D8A"/>
    <w:rsid w:val="000D6C34"/>
    <w:rsid w:val="000D7C8D"/>
    <w:rsid w:val="000E102F"/>
    <w:rsid w:val="000E3030"/>
    <w:rsid w:val="000E36F1"/>
    <w:rsid w:val="000E3A73"/>
    <w:rsid w:val="000E4050"/>
    <w:rsid w:val="000E414A"/>
    <w:rsid w:val="000E5DCC"/>
    <w:rsid w:val="000E75FD"/>
    <w:rsid w:val="000F093C"/>
    <w:rsid w:val="000F787B"/>
    <w:rsid w:val="00100EF8"/>
    <w:rsid w:val="001046E3"/>
    <w:rsid w:val="00104719"/>
    <w:rsid w:val="00111EA0"/>
    <w:rsid w:val="00115934"/>
    <w:rsid w:val="0012091F"/>
    <w:rsid w:val="00121996"/>
    <w:rsid w:val="00121C38"/>
    <w:rsid w:val="00124950"/>
    <w:rsid w:val="00124AAD"/>
    <w:rsid w:val="00126BC2"/>
    <w:rsid w:val="001308B6"/>
    <w:rsid w:val="0013121F"/>
    <w:rsid w:val="00131FE6"/>
    <w:rsid w:val="0013263F"/>
    <w:rsid w:val="001331DF"/>
    <w:rsid w:val="001348E5"/>
    <w:rsid w:val="00134DE4"/>
    <w:rsid w:val="00135BEF"/>
    <w:rsid w:val="001375D6"/>
    <w:rsid w:val="0014034D"/>
    <w:rsid w:val="00140FE3"/>
    <w:rsid w:val="00141BFA"/>
    <w:rsid w:val="0014354F"/>
    <w:rsid w:val="00144D16"/>
    <w:rsid w:val="00150E59"/>
    <w:rsid w:val="00152DE3"/>
    <w:rsid w:val="001558CB"/>
    <w:rsid w:val="00156474"/>
    <w:rsid w:val="00164383"/>
    <w:rsid w:val="00164CF9"/>
    <w:rsid w:val="0016574E"/>
    <w:rsid w:val="001667A6"/>
    <w:rsid w:val="0017778B"/>
    <w:rsid w:val="00181B86"/>
    <w:rsid w:val="00184AD6"/>
    <w:rsid w:val="00187C7F"/>
    <w:rsid w:val="00191B93"/>
    <w:rsid w:val="00192383"/>
    <w:rsid w:val="00196D98"/>
    <w:rsid w:val="00197CAE"/>
    <w:rsid w:val="001A0EAB"/>
    <w:rsid w:val="001A4AF7"/>
    <w:rsid w:val="001A774C"/>
    <w:rsid w:val="001B0349"/>
    <w:rsid w:val="001B1E93"/>
    <w:rsid w:val="001B577B"/>
    <w:rsid w:val="001B61A7"/>
    <w:rsid w:val="001B65C1"/>
    <w:rsid w:val="001C0F09"/>
    <w:rsid w:val="001C260F"/>
    <w:rsid w:val="001C2E51"/>
    <w:rsid w:val="001C33F1"/>
    <w:rsid w:val="001C34CD"/>
    <w:rsid w:val="001C684B"/>
    <w:rsid w:val="001C6C5C"/>
    <w:rsid w:val="001D0CFB"/>
    <w:rsid w:val="001D140C"/>
    <w:rsid w:val="001D1D96"/>
    <w:rsid w:val="001D21AF"/>
    <w:rsid w:val="001D4E1A"/>
    <w:rsid w:val="001D53FC"/>
    <w:rsid w:val="001D60D7"/>
    <w:rsid w:val="001E102F"/>
    <w:rsid w:val="001F1444"/>
    <w:rsid w:val="001F42A5"/>
    <w:rsid w:val="001F7B9D"/>
    <w:rsid w:val="00200A7A"/>
    <w:rsid w:val="00201C93"/>
    <w:rsid w:val="00201F58"/>
    <w:rsid w:val="00202D34"/>
    <w:rsid w:val="00211512"/>
    <w:rsid w:val="002125C9"/>
    <w:rsid w:val="00216038"/>
    <w:rsid w:val="002224B4"/>
    <w:rsid w:val="002224CF"/>
    <w:rsid w:val="00226AE6"/>
    <w:rsid w:val="00227AA7"/>
    <w:rsid w:val="002307C6"/>
    <w:rsid w:val="002324B7"/>
    <w:rsid w:val="002350E2"/>
    <w:rsid w:val="00243A53"/>
    <w:rsid w:val="002447EF"/>
    <w:rsid w:val="00247F31"/>
    <w:rsid w:val="00251550"/>
    <w:rsid w:val="00252B3D"/>
    <w:rsid w:val="00254214"/>
    <w:rsid w:val="00254812"/>
    <w:rsid w:val="002551F4"/>
    <w:rsid w:val="00263B05"/>
    <w:rsid w:val="002659CF"/>
    <w:rsid w:val="00266D83"/>
    <w:rsid w:val="00267A3F"/>
    <w:rsid w:val="0027221A"/>
    <w:rsid w:val="002722F2"/>
    <w:rsid w:val="002730DF"/>
    <w:rsid w:val="00275B61"/>
    <w:rsid w:val="00280FAF"/>
    <w:rsid w:val="00282656"/>
    <w:rsid w:val="00282BC5"/>
    <w:rsid w:val="00283334"/>
    <w:rsid w:val="002842B6"/>
    <w:rsid w:val="00286B9B"/>
    <w:rsid w:val="00290629"/>
    <w:rsid w:val="0029095F"/>
    <w:rsid w:val="00292620"/>
    <w:rsid w:val="00296B83"/>
    <w:rsid w:val="002B13C9"/>
    <w:rsid w:val="002B14E8"/>
    <w:rsid w:val="002B2A14"/>
    <w:rsid w:val="002B4015"/>
    <w:rsid w:val="002B4DF0"/>
    <w:rsid w:val="002B78CE"/>
    <w:rsid w:val="002C2FB6"/>
    <w:rsid w:val="002C616C"/>
    <w:rsid w:val="002D046A"/>
    <w:rsid w:val="002D15C0"/>
    <w:rsid w:val="002D21A5"/>
    <w:rsid w:val="002D2235"/>
    <w:rsid w:val="002D3960"/>
    <w:rsid w:val="002E0596"/>
    <w:rsid w:val="002E314C"/>
    <w:rsid w:val="002E492E"/>
    <w:rsid w:val="002E5FA7"/>
    <w:rsid w:val="002F0804"/>
    <w:rsid w:val="002F3309"/>
    <w:rsid w:val="002F38CC"/>
    <w:rsid w:val="002F42B8"/>
    <w:rsid w:val="002F5AA9"/>
    <w:rsid w:val="002F6428"/>
    <w:rsid w:val="003008CE"/>
    <w:rsid w:val="003009B7"/>
    <w:rsid w:val="00300E56"/>
    <w:rsid w:val="0030152C"/>
    <w:rsid w:val="00303359"/>
    <w:rsid w:val="0030469C"/>
    <w:rsid w:val="00305710"/>
    <w:rsid w:val="00306052"/>
    <w:rsid w:val="0031119F"/>
    <w:rsid w:val="003175B3"/>
    <w:rsid w:val="00321CA6"/>
    <w:rsid w:val="003228A5"/>
    <w:rsid w:val="00323763"/>
    <w:rsid w:val="00323C5F"/>
    <w:rsid w:val="0032409B"/>
    <w:rsid w:val="00327AE3"/>
    <w:rsid w:val="00330FB1"/>
    <w:rsid w:val="003312BD"/>
    <w:rsid w:val="00333BB4"/>
    <w:rsid w:val="00334763"/>
    <w:rsid w:val="00334C09"/>
    <w:rsid w:val="00335180"/>
    <w:rsid w:val="00340596"/>
    <w:rsid w:val="00341BE0"/>
    <w:rsid w:val="00342FD6"/>
    <w:rsid w:val="00345085"/>
    <w:rsid w:val="00353DD5"/>
    <w:rsid w:val="003544B4"/>
    <w:rsid w:val="00355E46"/>
    <w:rsid w:val="0035627E"/>
    <w:rsid w:val="00356B77"/>
    <w:rsid w:val="00360B8B"/>
    <w:rsid w:val="00362578"/>
    <w:rsid w:val="00367F1E"/>
    <w:rsid w:val="003723D4"/>
    <w:rsid w:val="00374264"/>
    <w:rsid w:val="00374278"/>
    <w:rsid w:val="00375047"/>
    <w:rsid w:val="00376AD1"/>
    <w:rsid w:val="00380AC0"/>
    <w:rsid w:val="00381905"/>
    <w:rsid w:val="00384CC8"/>
    <w:rsid w:val="003871FD"/>
    <w:rsid w:val="00387E98"/>
    <w:rsid w:val="00391697"/>
    <w:rsid w:val="0039344F"/>
    <w:rsid w:val="00396A87"/>
    <w:rsid w:val="003A08B1"/>
    <w:rsid w:val="003A149B"/>
    <w:rsid w:val="003A1E30"/>
    <w:rsid w:val="003A2829"/>
    <w:rsid w:val="003A4DE7"/>
    <w:rsid w:val="003A7D1C"/>
    <w:rsid w:val="003B1ECA"/>
    <w:rsid w:val="003B304B"/>
    <w:rsid w:val="003B3146"/>
    <w:rsid w:val="003B3A07"/>
    <w:rsid w:val="003B6538"/>
    <w:rsid w:val="003B66F6"/>
    <w:rsid w:val="003B750F"/>
    <w:rsid w:val="003C57A0"/>
    <w:rsid w:val="003C7C28"/>
    <w:rsid w:val="003D07B6"/>
    <w:rsid w:val="003D1E02"/>
    <w:rsid w:val="003D1F58"/>
    <w:rsid w:val="003D672C"/>
    <w:rsid w:val="003D6EA6"/>
    <w:rsid w:val="003E1D74"/>
    <w:rsid w:val="003F015E"/>
    <w:rsid w:val="003F0AA7"/>
    <w:rsid w:val="003F4967"/>
    <w:rsid w:val="00400414"/>
    <w:rsid w:val="00404080"/>
    <w:rsid w:val="004046BA"/>
    <w:rsid w:val="00406390"/>
    <w:rsid w:val="004068D5"/>
    <w:rsid w:val="00410364"/>
    <w:rsid w:val="00410A1E"/>
    <w:rsid w:val="00410CAE"/>
    <w:rsid w:val="0041446B"/>
    <w:rsid w:val="00417A48"/>
    <w:rsid w:val="004209C4"/>
    <w:rsid w:val="00420D82"/>
    <w:rsid w:val="00421C68"/>
    <w:rsid w:val="00426481"/>
    <w:rsid w:val="00426B32"/>
    <w:rsid w:val="00426C09"/>
    <w:rsid w:val="00427C4E"/>
    <w:rsid w:val="00427E33"/>
    <w:rsid w:val="004320AB"/>
    <w:rsid w:val="0044071E"/>
    <w:rsid w:val="0044329C"/>
    <w:rsid w:val="00444CE5"/>
    <w:rsid w:val="00447112"/>
    <w:rsid w:val="0045226D"/>
    <w:rsid w:val="00453E24"/>
    <w:rsid w:val="00453F4A"/>
    <w:rsid w:val="00457456"/>
    <w:rsid w:val="004577FE"/>
    <w:rsid w:val="00457B9C"/>
    <w:rsid w:val="0046164A"/>
    <w:rsid w:val="004628D2"/>
    <w:rsid w:val="00462DCD"/>
    <w:rsid w:val="004648AD"/>
    <w:rsid w:val="00465337"/>
    <w:rsid w:val="004703A9"/>
    <w:rsid w:val="00470914"/>
    <w:rsid w:val="004732EB"/>
    <w:rsid w:val="004760DE"/>
    <w:rsid w:val="004763D7"/>
    <w:rsid w:val="00487DBA"/>
    <w:rsid w:val="004916BE"/>
    <w:rsid w:val="00491763"/>
    <w:rsid w:val="00492AB9"/>
    <w:rsid w:val="00495244"/>
    <w:rsid w:val="00496591"/>
    <w:rsid w:val="004A004E"/>
    <w:rsid w:val="004A0E94"/>
    <w:rsid w:val="004A24CF"/>
    <w:rsid w:val="004A24D9"/>
    <w:rsid w:val="004A5E57"/>
    <w:rsid w:val="004A60FC"/>
    <w:rsid w:val="004A77E9"/>
    <w:rsid w:val="004B6F8A"/>
    <w:rsid w:val="004C194F"/>
    <w:rsid w:val="004C3007"/>
    <w:rsid w:val="004C3D1D"/>
    <w:rsid w:val="004C3D84"/>
    <w:rsid w:val="004C41B6"/>
    <w:rsid w:val="004C54A3"/>
    <w:rsid w:val="004C7913"/>
    <w:rsid w:val="004D0B40"/>
    <w:rsid w:val="004D3010"/>
    <w:rsid w:val="004D3875"/>
    <w:rsid w:val="004E483D"/>
    <w:rsid w:val="004E4DD6"/>
    <w:rsid w:val="004F1503"/>
    <w:rsid w:val="004F435C"/>
    <w:rsid w:val="004F56A8"/>
    <w:rsid w:val="004F5E36"/>
    <w:rsid w:val="00502C31"/>
    <w:rsid w:val="005032BA"/>
    <w:rsid w:val="00507B47"/>
    <w:rsid w:val="00507BEF"/>
    <w:rsid w:val="00507CC9"/>
    <w:rsid w:val="005119A5"/>
    <w:rsid w:val="005120D3"/>
    <w:rsid w:val="00521447"/>
    <w:rsid w:val="00522022"/>
    <w:rsid w:val="0052411B"/>
    <w:rsid w:val="005256FE"/>
    <w:rsid w:val="005278B7"/>
    <w:rsid w:val="00532016"/>
    <w:rsid w:val="005326FE"/>
    <w:rsid w:val="00533C88"/>
    <w:rsid w:val="005346C8"/>
    <w:rsid w:val="00541DEB"/>
    <w:rsid w:val="0054339F"/>
    <w:rsid w:val="0054380A"/>
    <w:rsid w:val="00543E7D"/>
    <w:rsid w:val="005443E5"/>
    <w:rsid w:val="00547A68"/>
    <w:rsid w:val="005516F0"/>
    <w:rsid w:val="00552D9B"/>
    <w:rsid w:val="005531C9"/>
    <w:rsid w:val="005615BD"/>
    <w:rsid w:val="00565E0E"/>
    <w:rsid w:val="00570C43"/>
    <w:rsid w:val="00570C57"/>
    <w:rsid w:val="00592274"/>
    <w:rsid w:val="005929FF"/>
    <w:rsid w:val="00593FEB"/>
    <w:rsid w:val="00596D32"/>
    <w:rsid w:val="005A212D"/>
    <w:rsid w:val="005A3A44"/>
    <w:rsid w:val="005A5932"/>
    <w:rsid w:val="005A61DE"/>
    <w:rsid w:val="005B2110"/>
    <w:rsid w:val="005B4CAB"/>
    <w:rsid w:val="005B6174"/>
    <w:rsid w:val="005B61E6"/>
    <w:rsid w:val="005C77E1"/>
    <w:rsid w:val="005D61D2"/>
    <w:rsid w:val="005D668A"/>
    <w:rsid w:val="005D6A2F"/>
    <w:rsid w:val="005E0592"/>
    <w:rsid w:val="005E0D1B"/>
    <w:rsid w:val="005E19B7"/>
    <w:rsid w:val="005E1A82"/>
    <w:rsid w:val="005E4114"/>
    <w:rsid w:val="005E5359"/>
    <w:rsid w:val="005E6AD7"/>
    <w:rsid w:val="005E794C"/>
    <w:rsid w:val="005F0A28"/>
    <w:rsid w:val="005F0E5E"/>
    <w:rsid w:val="005F11A2"/>
    <w:rsid w:val="005F606D"/>
    <w:rsid w:val="00600535"/>
    <w:rsid w:val="0060392E"/>
    <w:rsid w:val="00606884"/>
    <w:rsid w:val="00606E7E"/>
    <w:rsid w:val="00610CD6"/>
    <w:rsid w:val="0061524A"/>
    <w:rsid w:val="006160ED"/>
    <w:rsid w:val="00617247"/>
    <w:rsid w:val="00620DEE"/>
    <w:rsid w:val="00621967"/>
    <w:rsid w:val="00621F92"/>
    <w:rsid w:val="0062280A"/>
    <w:rsid w:val="006231E1"/>
    <w:rsid w:val="00625639"/>
    <w:rsid w:val="00631B33"/>
    <w:rsid w:val="00631F5A"/>
    <w:rsid w:val="006343DB"/>
    <w:rsid w:val="00640625"/>
    <w:rsid w:val="0064184D"/>
    <w:rsid w:val="006422CC"/>
    <w:rsid w:val="00645944"/>
    <w:rsid w:val="00651D18"/>
    <w:rsid w:val="00652EC7"/>
    <w:rsid w:val="00655CAA"/>
    <w:rsid w:val="00656E3E"/>
    <w:rsid w:val="00660E3E"/>
    <w:rsid w:val="0066235E"/>
    <w:rsid w:val="00662E74"/>
    <w:rsid w:val="006713F4"/>
    <w:rsid w:val="0067155E"/>
    <w:rsid w:val="00672B2B"/>
    <w:rsid w:val="0067614F"/>
    <w:rsid w:val="00677328"/>
    <w:rsid w:val="00680353"/>
    <w:rsid w:val="00680C23"/>
    <w:rsid w:val="00683E23"/>
    <w:rsid w:val="00683E36"/>
    <w:rsid w:val="006844CF"/>
    <w:rsid w:val="00685C62"/>
    <w:rsid w:val="00690ACD"/>
    <w:rsid w:val="00693766"/>
    <w:rsid w:val="00696732"/>
    <w:rsid w:val="00696E79"/>
    <w:rsid w:val="006A3281"/>
    <w:rsid w:val="006A496E"/>
    <w:rsid w:val="006A5EEC"/>
    <w:rsid w:val="006A7617"/>
    <w:rsid w:val="006A7E30"/>
    <w:rsid w:val="006B242D"/>
    <w:rsid w:val="006B4888"/>
    <w:rsid w:val="006B5C08"/>
    <w:rsid w:val="006C1C26"/>
    <w:rsid w:val="006C1CAB"/>
    <w:rsid w:val="006C1FF1"/>
    <w:rsid w:val="006C200C"/>
    <w:rsid w:val="006C2D1D"/>
    <w:rsid w:val="006C2E45"/>
    <w:rsid w:val="006C359C"/>
    <w:rsid w:val="006C5579"/>
    <w:rsid w:val="006C5A46"/>
    <w:rsid w:val="006D00C8"/>
    <w:rsid w:val="006D0951"/>
    <w:rsid w:val="006D0CDA"/>
    <w:rsid w:val="006D6E8B"/>
    <w:rsid w:val="006D7209"/>
    <w:rsid w:val="006E25FA"/>
    <w:rsid w:val="006E737D"/>
    <w:rsid w:val="006F289C"/>
    <w:rsid w:val="006F531F"/>
    <w:rsid w:val="006F6536"/>
    <w:rsid w:val="006F699E"/>
    <w:rsid w:val="006F6ADF"/>
    <w:rsid w:val="006F739C"/>
    <w:rsid w:val="00703F4F"/>
    <w:rsid w:val="00707DD1"/>
    <w:rsid w:val="0071358B"/>
    <w:rsid w:val="00713973"/>
    <w:rsid w:val="00713C5E"/>
    <w:rsid w:val="00720A24"/>
    <w:rsid w:val="0072386B"/>
    <w:rsid w:val="007250B1"/>
    <w:rsid w:val="00725F09"/>
    <w:rsid w:val="007269D1"/>
    <w:rsid w:val="007277C3"/>
    <w:rsid w:val="00727B34"/>
    <w:rsid w:val="00730786"/>
    <w:rsid w:val="0073161F"/>
    <w:rsid w:val="00732386"/>
    <w:rsid w:val="0073514D"/>
    <w:rsid w:val="00737CE1"/>
    <w:rsid w:val="007447F3"/>
    <w:rsid w:val="0075499F"/>
    <w:rsid w:val="007559E2"/>
    <w:rsid w:val="007617CC"/>
    <w:rsid w:val="00761F84"/>
    <w:rsid w:val="007661C8"/>
    <w:rsid w:val="00766397"/>
    <w:rsid w:val="0077034E"/>
    <w:rsid w:val="0077098D"/>
    <w:rsid w:val="00772D92"/>
    <w:rsid w:val="007846A2"/>
    <w:rsid w:val="00785BF9"/>
    <w:rsid w:val="007916CA"/>
    <w:rsid w:val="007931FA"/>
    <w:rsid w:val="0079614C"/>
    <w:rsid w:val="007A4861"/>
    <w:rsid w:val="007A6DF8"/>
    <w:rsid w:val="007A7BBA"/>
    <w:rsid w:val="007B0C50"/>
    <w:rsid w:val="007B3A65"/>
    <w:rsid w:val="007B48F9"/>
    <w:rsid w:val="007B4961"/>
    <w:rsid w:val="007B5C8B"/>
    <w:rsid w:val="007B76F1"/>
    <w:rsid w:val="007C1A43"/>
    <w:rsid w:val="007C23F6"/>
    <w:rsid w:val="007C4354"/>
    <w:rsid w:val="007C7464"/>
    <w:rsid w:val="007D0951"/>
    <w:rsid w:val="007D5BC6"/>
    <w:rsid w:val="007E0491"/>
    <w:rsid w:val="007F27C8"/>
    <w:rsid w:val="0080013E"/>
    <w:rsid w:val="00807152"/>
    <w:rsid w:val="008122F8"/>
    <w:rsid w:val="0081233F"/>
    <w:rsid w:val="00813288"/>
    <w:rsid w:val="0081587D"/>
    <w:rsid w:val="008168FC"/>
    <w:rsid w:val="00817106"/>
    <w:rsid w:val="00817DCF"/>
    <w:rsid w:val="00820668"/>
    <w:rsid w:val="00830996"/>
    <w:rsid w:val="008314D7"/>
    <w:rsid w:val="00832930"/>
    <w:rsid w:val="008345F1"/>
    <w:rsid w:val="00842272"/>
    <w:rsid w:val="00847D6C"/>
    <w:rsid w:val="008529AA"/>
    <w:rsid w:val="008536EA"/>
    <w:rsid w:val="00853BE9"/>
    <w:rsid w:val="00864753"/>
    <w:rsid w:val="00864818"/>
    <w:rsid w:val="00865661"/>
    <w:rsid w:val="00865B07"/>
    <w:rsid w:val="008667EA"/>
    <w:rsid w:val="00870199"/>
    <w:rsid w:val="008730B3"/>
    <w:rsid w:val="008749DF"/>
    <w:rsid w:val="00874AEA"/>
    <w:rsid w:val="0087637F"/>
    <w:rsid w:val="0087734A"/>
    <w:rsid w:val="0087782E"/>
    <w:rsid w:val="00877C5D"/>
    <w:rsid w:val="008811F3"/>
    <w:rsid w:val="00884B0F"/>
    <w:rsid w:val="00886CA3"/>
    <w:rsid w:val="00892AD5"/>
    <w:rsid w:val="00895AA6"/>
    <w:rsid w:val="008A0A6C"/>
    <w:rsid w:val="008A1512"/>
    <w:rsid w:val="008A1A34"/>
    <w:rsid w:val="008A4065"/>
    <w:rsid w:val="008A6A21"/>
    <w:rsid w:val="008A70DD"/>
    <w:rsid w:val="008B4169"/>
    <w:rsid w:val="008B4AC3"/>
    <w:rsid w:val="008B571A"/>
    <w:rsid w:val="008C4A90"/>
    <w:rsid w:val="008C558B"/>
    <w:rsid w:val="008C70E3"/>
    <w:rsid w:val="008C74FC"/>
    <w:rsid w:val="008C76A8"/>
    <w:rsid w:val="008C7B5D"/>
    <w:rsid w:val="008C7C1E"/>
    <w:rsid w:val="008C7DA2"/>
    <w:rsid w:val="008D21D7"/>
    <w:rsid w:val="008D32B9"/>
    <w:rsid w:val="008D433B"/>
    <w:rsid w:val="008D4A16"/>
    <w:rsid w:val="008E209A"/>
    <w:rsid w:val="008E25AC"/>
    <w:rsid w:val="008E25BA"/>
    <w:rsid w:val="008E45BC"/>
    <w:rsid w:val="008E566E"/>
    <w:rsid w:val="008F5335"/>
    <w:rsid w:val="008F7A1E"/>
    <w:rsid w:val="0090161A"/>
    <w:rsid w:val="00901EB6"/>
    <w:rsid w:val="009041F8"/>
    <w:rsid w:val="00904C62"/>
    <w:rsid w:val="00907050"/>
    <w:rsid w:val="0090790F"/>
    <w:rsid w:val="009109C2"/>
    <w:rsid w:val="0091266F"/>
    <w:rsid w:val="00915E79"/>
    <w:rsid w:val="009166A9"/>
    <w:rsid w:val="00922BA8"/>
    <w:rsid w:val="00924DAC"/>
    <w:rsid w:val="00927058"/>
    <w:rsid w:val="009275C9"/>
    <w:rsid w:val="00927BA8"/>
    <w:rsid w:val="0093148C"/>
    <w:rsid w:val="00934938"/>
    <w:rsid w:val="00934DDB"/>
    <w:rsid w:val="00935604"/>
    <w:rsid w:val="00937D5B"/>
    <w:rsid w:val="00940DAE"/>
    <w:rsid w:val="00940E1C"/>
    <w:rsid w:val="00942750"/>
    <w:rsid w:val="009450CE"/>
    <w:rsid w:val="009459BB"/>
    <w:rsid w:val="00947179"/>
    <w:rsid w:val="00950D62"/>
    <w:rsid w:val="0095164B"/>
    <w:rsid w:val="00953CCE"/>
    <w:rsid w:val="00954090"/>
    <w:rsid w:val="009550BC"/>
    <w:rsid w:val="009573E7"/>
    <w:rsid w:val="00962904"/>
    <w:rsid w:val="00963E05"/>
    <w:rsid w:val="00964A45"/>
    <w:rsid w:val="0096619C"/>
    <w:rsid w:val="00967843"/>
    <w:rsid w:val="00967D54"/>
    <w:rsid w:val="00971028"/>
    <w:rsid w:val="0097613D"/>
    <w:rsid w:val="0097686C"/>
    <w:rsid w:val="00980252"/>
    <w:rsid w:val="0098155E"/>
    <w:rsid w:val="00981BF6"/>
    <w:rsid w:val="009854CD"/>
    <w:rsid w:val="00985F14"/>
    <w:rsid w:val="0098643A"/>
    <w:rsid w:val="009912CF"/>
    <w:rsid w:val="00992921"/>
    <w:rsid w:val="00993B84"/>
    <w:rsid w:val="00993DE9"/>
    <w:rsid w:val="00996483"/>
    <w:rsid w:val="00996F5A"/>
    <w:rsid w:val="009972E8"/>
    <w:rsid w:val="009A021E"/>
    <w:rsid w:val="009A1543"/>
    <w:rsid w:val="009A1AD4"/>
    <w:rsid w:val="009A44DA"/>
    <w:rsid w:val="009A478D"/>
    <w:rsid w:val="009A55BB"/>
    <w:rsid w:val="009B041A"/>
    <w:rsid w:val="009B3E43"/>
    <w:rsid w:val="009B44A1"/>
    <w:rsid w:val="009C37C3"/>
    <w:rsid w:val="009C3807"/>
    <w:rsid w:val="009C394B"/>
    <w:rsid w:val="009C4C68"/>
    <w:rsid w:val="009C7C86"/>
    <w:rsid w:val="009C7EAD"/>
    <w:rsid w:val="009D22C7"/>
    <w:rsid w:val="009D2FF7"/>
    <w:rsid w:val="009D5E8C"/>
    <w:rsid w:val="009D5FCC"/>
    <w:rsid w:val="009D6A18"/>
    <w:rsid w:val="009E1B22"/>
    <w:rsid w:val="009E1C32"/>
    <w:rsid w:val="009E394D"/>
    <w:rsid w:val="009E783E"/>
    <w:rsid w:val="009E7884"/>
    <w:rsid w:val="009E788A"/>
    <w:rsid w:val="009F0E08"/>
    <w:rsid w:val="009F1CED"/>
    <w:rsid w:val="009F4793"/>
    <w:rsid w:val="009F716C"/>
    <w:rsid w:val="00A007EE"/>
    <w:rsid w:val="00A04637"/>
    <w:rsid w:val="00A05FA3"/>
    <w:rsid w:val="00A0735C"/>
    <w:rsid w:val="00A079AE"/>
    <w:rsid w:val="00A12AAD"/>
    <w:rsid w:val="00A14C3D"/>
    <w:rsid w:val="00A15B12"/>
    <w:rsid w:val="00A1763D"/>
    <w:rsid w:val="00A17CEC"/>
    <w:rsid w:val="00A2336C"/>
    <w:rsid w:val="00A25735"/>
    <w:rsid w:val="00A25973"/>
    <w:rsid w:val="00A26CBB"/>
    <w:rsid w:val="00A27EF0"/>
    <w:rsid w:val="00A30ADC"/>
    <w:rsid w:val="00A3175E"/>
    <w:rsid w:val="00A42361"/>
    <w:rsid w:val="00A45C22"/>
    <w:rsid w:val="00A509BC"/>
    <w:rsid w:val="00A50B20"/>
    <w:rsid w:val="00A51390"/>
    <w:rsid w:val="00A552C2"/>
    <w:rsid w:val="00A55B4C"/>
    <w:rsid w:val="00A55BA2"/>
    <w:rsid w:val="00A55DA7"/>
    <w:rsid w:val="00A561F6"/>
    <w:rsid w:val="00A60D13"/>
    <w:rsid w:val="00A60DF5"/>
    <w:rsid w:val="00A6223A"/>
    <w:rsid w:val="00A62AA6"/>
    <w:rsid w:val="00A63749"/>
    <w:rsid w:val="00A7223D"/>
    <w:rsid w:val="00A72745"/>
    <w:rsid w:val="00A743FC"/>
    <w:rsid w:val="00A76EFC"/>
    <w:rsid w:val="00A81531"/>
    <w:rsid w:val="00A820F4"/>
    <w:rsid w:val="00A83853"/>
    <w:rsid w:val="00A85A48"/>
    <w:rsid w:val="00A8691F"/>
    <w:rsid w:val="00A87D50"/>
    <w:rsid w:val="00A91010"/>
    <w:rsid w:val="00A926C1"/>
    <w:rsid w:val="00A93687"/>
    <w:rsid w:val="00A943BC"/>
    <w:rsid w:val="00A97F29"/>
    <w:rsid w:val="00AA6696"/>
    <w:rsid w:val="00AA702E"/>
    <w:rsid w:val="00AA7D26"/>
    <w:rsid w:val="00AB0964"/>
    <w:rsid w:val="00AB1E10"/>
    <w:rsid w:val="00AB5011"/>
    <w:rsid w:val="00AB6FF0"/>
    <w:rsid w:val="00AC0A42"/>
    <w:rsid w:val="00AC1BA8"/>
    <w:rsid w:val="00AC2621"/>
    <w:rsid w:val="00AC32E0"/>
    <w:rsid w:val="00AC7368"/>
    <w:rsid w:val="00AD0278"/>
    <w:rsid w:val="00AD16B9"/>
    <w:rsid w:val="00AD2631"/>
    <w:rsid w:val="00AD61A2"/>
    <w:rsid w:val="00AD6649"/>
    <w:rsid w:val="00AD6FEE"/>
    <w:rsid w:val="00AE09C5"/>
    <w:rsid w:val="00AE1969"/>
    <w:rsid w:val="00AE1E6B"/>
    <w:rsid w:val="00AE377D"/>
    <w:rsid w:val="00AE4F1F"/>
    <w:rsid w:val="00AE6B1A"/>
    <w:rsid w:val="00AF0EBA"/>
    <w:rsid w:val="00AF13AF"/>
    <w:rsid w:val="00AF2619"/>
    <w:rsid w:val="00AF4F6B"/>
    <w:rsid w:val="00AF786F"/>
    <w:rsid w:val="00B01A4D"/>
    <w:rsid w:val="00B02C8A"/>
    <w:rsid w:val="00B03261"/>
    <w:rsid w:val="00B039E0"/>
    <w:rsid w:val="00B1022C"/>
    <w:rsid w:val="00B13F94"/>
    <w:rsid w:val="00B156C9"/>
    <w:rsid w:val="00B170CE"/>
    <w:rsid w:val="00B17CBE"/>
    <w:rsid w:val="00B17FBD"/>
    <w:rsid w:val="00B22EB4"/>
    <w:rsid w:val="00B3131A"/>
    <w:rsid w:val="00B315A6"/>
    <w:rsid w:val="00B31813"/>
    <w:rsid w:val="00B33365"/>
    <w:rsid w:val="00B342E4"/>
    <w:rsid w:val="00B41067"/>
    <w:rsid w:val="00B419D3"/>
    <w:rsid w:val="00B4473F"/>
    <w:rsid w:val="00B470C2"/>
    <w:rsid w:val="00B50684"/>
    <w:rsid w:val="00B57B36"/>
    <w:rsid w:val="00B57E6F"/>
    <w:rsid w:val="00B6300B"/>
    <w:rsid w:val="00B7292F"/>
    <w:rsid w:val="00B7754B"/>
    <w:rsid w:val="00B84133"/>
    <w:rsid w:val="00B84B18"/>
    <w:rsid w:val="00B8549B"/>
    <w:rsid w:val="00B85C05"/>
    <w:rsid w:val="00B8686D"/>
    <w:rsid w:val="00B8742D"/>
    <w:rsid w:val="00B87588"/>
    <w:rsid w:val="00B91032"/>
    <w:rsid w:val="00B93F69"/>
    <w:rsid w:val="00B95892"/>
    <w:rsid w:val="00B96229"/>
    <w:rsid w:val="00B96F1C"/>
    <w:rsid w:val="00BA3B4E"/>
    <w:rsid w:val="00BA3F2D"/>
    <w:rsid w:val="00BA509C"/>
    <w:rsid w:val="00BA5527"/>
    <w:rsid w:val="00BB1DDC"/>
    <w:rsid w:val="00BB5CF9"/>
    <w:rsid w:val="00BC109F"/>
    <w:rsid w:val="00BC1670"/>
    <w:rsid w:val="00BC2070"/>
    <w:rsid w:val="00BC256C"/>
    <w:rsid w:val="00BC30C9"/>
    <w:rsid w:val="00BD077D"/>
    <w:rsid w:val="00BE1C6D"/>
    <w:rsid w:val="00BE3E58"/>
    <w:rsid w:val="00BF0CC5"/>
    <w:rsid w:val="00BF1C03"/>
    <w:rsid w:val="00BF7278"/>
    <w:rsid w:val="00C00C16"/>
    <w:rsid w:val="00C01616"/>
    <w:rsid w:val="00C0162B"/>
    <w:rsid w:val="00C036FB"/>
    <w:rsid w:val="00C047C7"/>
    <w:rsid w:val="00C052CF"/>
    <w:rsid w:val="00C0549C"/>
    <w:rsid w:val="00C068ED"/>
    <w:rsid w:val="00C06D2C"/>
    <w:rsid w:val="00C07354"/>
    <w:rsid w:val="00C1388A"/>
    <w:rsid w:val="00C208E9"/>
    <w:rsid w:val="00C21159"/>
    <w:rsid w:val="00C22E0C"/>
    <w:rsid w:val="00C322EF"/>
    <w:rsid w:val="00C345B1"/>
    <w:rsid w:val="00C36887"/>
    <w:rsid w:val="00C36907"/>
    <w:rsid w:val="00C40142"/>
    <w:rsid w:val="00C40E54"/>
    <w:rsid w:val="00C46A61"/>
    <w:rsid w:val="00C52C3C"/>
    <w:rsid w:val="00C53F5E"/>
    <w:rsid w:val="00C54AE4"/>
    <w:rsid w:val="00C57182"/>
    <w:rsid w:val="00C57863"/>
    <w:rsid w:val="00C617E3"/>
    <w:rsid w:val="00C61822"/>
    <w:rsid w:val="00C640AF"/>
    <w:rsid w:val="00C655FD"/>
    <w:rsid w:val="00C65B19"/>
    <w:rsid w:val="00C65E25"/>
    <w:rsid w:val="00C70DEB"/>
    <w:rsid w:val="00C7272F"/>
    <w:rsid w:val="00C75407"/>
    <w:rsid w:val="00C803F4"/>
    <w:rsid w:val="00C821BA"/>
    <w:rsid w:val="00C82AD7"/>
    <w:rsid w:val="00C82EE9"/>
    <w:rsid w:val="00C841C6"/>
    <w:rsid w:val="00C86D19"/>
    <w:rsid w:val="00C870A8"/>
    <w:rsid w:val="00C926C9"/>
    <w:rsid w:val="00C94434"/>
    <w:rsid w:val="00CA0D75"/>
    <w:rsid w:val="00CA10F7"/>
    <w:rsid w:val="00CA1C95"/>
    <w:rsid w:val="00CA2BA2"/>
    <w:rsid w:val="00CA4318"/>
    <w:rsid w:val="00CA5427"/>
    <w:rsid w:val="00CA5A9C"/>
    <w:rsid w:val="00CA611B"/>
    <w:rsid w:val="00CC1348"/>
    <w:rsid w:val="00CC1A66"/>
    <w:rsid w:val="00CC39D1"/>
    <w:rsid w:val="00CC3A7E"/>
    <w:rsid w:val="00CC4C20"/>
    <w:rsid w:val="00CC67ED"/>
    <w:rsid w:val="00CC6E82"/>
    <w:rsid w:val="00CD2528"/>
    <w:rsid w:val="00CD3517"/>
    <w:rsid w:val="00CD4F9E"/>
    <w:rsid w:val="00CD5FE2"/>
    <w:rsid w:val="00CE396B"/>
    <w:rsid w:val="00CE585E"/>
    <w:rsid w:val="00CE594D"/>
    <w:rsid w:val="00CE7C68"/>
    <w:rsid w:val="00CE7CB8"/>
    <w:rsid w:val="00CF2198"/>
    <w:rsid w:val="00CF2D47"/>
    <w:rsid w:val="00CF3D44"/>
    <w:rsid w:val="00CF4B67"/>
    <w:rsid w:val="00CF58A7"/>
    <w:rsid w:val="00D001D4"/>
    <w:rsid w:val="00D02B4C"/>
    <w:rsid w:val="00D02BCC"/>
    <w:rsid w:val="00D040C4"/>
    <w:rsid w:val="00D04870"/>
    <w:rsid w:val="00D06320"/>
    <w:rsid w:val="00D143FD"/>
    <w:rsid w:val="00D20AD1"/>
    <w:rsid w:val="00D21DB2"/>
    <w:rsid w:val="00D25128"/>
    <w:rsid w:val="00D2582C"/>
    <w:rsid w:val="00D357CC"/>
    <w:rsid w:val="00D3690A"/>
    <w:rsid w:val="00D36CCC"/>
    <w:rsid w:val="00D418B4"/>
    <w:rsid w:val="00D4360F"/>
    <w:rsid w:val="00D440D8"/>
    <w:rsid w:val="00D46B7E"/>
    <w:rsid w:val="00D4779D"/>
    <w:rsid w:val="00D47DAA"/>
    <w:rsid w:val="00D519D9"/>
    <w:rsid w:val="00D57C84"/>
    <w:rsid w:val="00D6057D"/>
    <w:rsid w:val="00D62415"/>
    <w:rsid w:val="00D628CD"/>
    <w:rsid w:val="00D6723B"/>
    <w:rsid w:val="00D71640"/>
    <w:rsid w:val="00D729D4"/>
    <w:rsid w:val="00D73E75"/>
    <w:rsid w:val="00D77A87"/>
    <w:rsid w:val="00D836C5"/>
    <w:rsid w:val="00D84576"/>
    <w:rsid w:val="00D86467"/>
    <w:rsid w:val="00D8729F"/>
    <w:rsid w:val="00D909F4"/>
    <w:rsid w:val="00DA1399"/>
    <w:rsid w:val="00DA24C6"/>
    <w:rsid w:val="00DA270E"/>
    <w:rsid w:val="00DA4D7B"/>
    <w:rsid w:val="00DA66D4"/>
    <w:rsid w:val="00DA720E"/>
    <w:rsid w:val="00DB1AF2"/>
    <w:rsid w:val="00DB352D"/>
    <w:rsid w:val="00DB391D"/>
    <w:rsid w:val="00DB3E08"/>
    <w:rsid w:val="00DB5A52"/>
    <w:rsid w:val="00DB78CA"/>
    <w:rsid w:val="00DC0204"/>
    <w:rsid w:val="00DC092F"/>
    <w:rsid w:val="00DC43CA"/>
    <w:rsid w:val="00DD0F30"/>
    <w:rsid w:val="00DD0F6F"/>
    <w:rsid w:val="00DD271C"/>
    <w:rsid w:val="00DD2B84"/>
    <w:rsid w:val="00DE264A"/>
    <w:rsid w:val="00DE2A77"/>
    <w:rsid w:val="00DE4B07"/>
    <w:rsid w:val="00DF1931"/>
    <w:rsid w:val="00DF43D9"/>
    <w:rsid w:val="00DF5072"/>
    <w:rsid w:val="00E02D18"/>
    <w:rsid w:val="00E041E7"/>
    <w:rsid w:val="00E045E4"/>
    <w:rsid w:val="00E0534C"/>
    <w:rsid w:val="00E10104"/>
    <w:rsid w:val="00E102D7"/>
    <w:rsid w:val="00E1258D"/>
    <w:rsid w:val="00E13A98"/>
    <w:rsid w:val="00E13FB1"/>
    <w:rsid w:val="00E14637"/>
    <w:rsid w:val="00E23CA1"/>
    <w:rsid w:val="00E24AFE"/>
    <w:rsid w:val="00E328D7"/>
    <w:rsid w:val="00E33AAD"/>
    <w:rsid w:val="00E404A3"/>
    <w:rsid w:val="00E409A8"/>
    <w:rsid w:val="00E41AAC"/>
    <w:rsid w:val="00E41DDE"/>
    <w:rsid w:val="00E42698"/>
    <w:rsid w:val="00E477AA"/>
    <w:rsid w:val="00E47D61"/>
    <w:rsid w:val="00E47E01"/>
    <w:rsid w:val="00E50C12"/>
    <w:rsid w:val="00E5244F"/>
    <w:rsid w:val="00E52CFF"/>
    <w:rsid w:val="00E52E9B"/>
    <w:rsid w:val="00E570E7"/>
    <w:rsid w:val="00E64463"/>
    <w:rsid w:val="00E65B91"/>
    <w:rsid w:val="00E71654"/>
    <w:rsid w:val="00E7209D"/>
    <w:rsid w:val="00E72EAD"/>
    <w:rsid w:val="00E73849"/>
    <w:rsid w:val="00E73ED9"/>
    <w:rsid w:val="00E76312"/>
    <w:rsid w:val="00E77223"/>
    <w:rsid w:val="00E8528B"/>
    <w:rsid w:val="00E85B94"/>
    <w:rsid w:val="00E90091"/>
    <w:rsid w:val="00E90FB6"/>
    <w:rsid w:val="00E93820"/>
    <w:rsid w:val="00E95653"/>
    <w:rsid w:val="00E978D0"/>
    <w:rsid w:val="00EA1151"/>
    <w:rsid w:val="00EA4613"/>
    <w:rsid w:val="00EA55E1"/>
    <w:rsid w:val="00EA587F"/>
    <w:rsid w:val="00EA7F91"/>
    <w:rsid w:val="00EB1523"/>
    <w:rsid w:val="00EB17A4"/>
    <w:rsid w:val="00EB6391"/>
    <w:rsid w:val="00EC0E49"/>
    <w:rsid w:val="00EC101F"/>
    <w:rsid w:val="00EC1D9F"/>
    <w:rsid w:val="00EC453D"/>
    <w:rsid w:val="00EC7810"/>
    <w:rsid w:val="00ED06AF"/>
    <w:rsid w:val="00ED0BF8"/>
    <w:rsid w:val="00ED165F"/>
    <w:rsid w:val="00ED2107"/>
    <w:rsid w:val="00ED3061"/>
    <w:rsid w:val="00ED537B"/>
    <w:rsid w:val="00ED5F5E"/>
    <w:rsid w:val="00EE0131"/>
    <w:rsid w:val="00EE17B0"/>
    <w:rsid w:val="00EE2813"/>
    <w:rsid w:val="00EE4E42"/>
    <w:rsid w:val="00EE4FF9"/>
    <w:rsid w:val="00EF06D9"/>
    <w:rsid w:val="00EF0982"/>
    <w:rsid w:val="00EF263E"/>
    <w:rsid w:val="00EF5149"/>
    <w:rsid w:val="00EF7726"/>
    <w:rsid w:val="00F0272A"/>
    <w:rsid w:val="00F02A36"/>
    <w:rsid w:val="00F0563C"/>
    <w:rsid w:val="00F06255"/>
    <w:rsid w:val="00F1206C"/>
    <w:rsid w:val="00F1214B"/>
    <w:rsid w:val="00F175F0"/>
    <w:rsid w:val="00F2187A"/>
    <w:rsid w:val="00F21EC8"/>
    <w:rsid w:val="00F251C4"/>
    <w:rsid w:val="00F26F2B"/>
    <w:rsid w:val="00F3049E"/>
    <w:rsid w:val="00F30C64"/>
    <w:rsid w:val="00F32BA2"/>
    <w:rsid w:val="00F32CDB"/>
    <w:rsid w:val="00F3348F"/>
    <w:rsid w:val="00F35A7A"/>
    <w:rsid w:val="00F36804"/>
    <w:rsid w:val="00F36CD0"/>
    <w:rsid w:val="00F37280"/>
    <w:rsid w:val="00F41EE4"/>
    <w:rsid w:val="00F42674"/>
    <w:rsid w:val="00F42E88"/>
    <w:rsid w:val="00F50C3C"/>
    <w:rsid w:val="00F518E7"/>
    <w:rsid w:val="00F56183"/>
    <w:rsid w:val="00F565FE"/>
    <w:rsid w:val="00F5709D"/>
    <w:rsid w:val="00F61260"/>
    <w:rsid w:val="00F63A70"/>
    <w:rsid w:val="00F63D8C"/>
    <w:rsid w:val="00F6547A"/>
    <w:rsid w:val="00F726AE"/>
    <w:rsid w:val="00F72F06"/>
    <w:rsid w:val="00F7534E"/>
    <w:rsid w:val="00F804AD"/>
    <w:rsid w:val="00F84976"/>
    <w:rsid w:val="00F84A25"/>
    <w:rsid w:val="00F87924"/>
    <w:rsid w:val="00F87C51"/>
    <w:rsid w:val="00F92758"/>
    <w:rsid w:val="00F93EDF"/>
    <w:rsid w:val="00F955E0"/>
    <w:rsid w:val="00FA0B2D"/>
    <w:rsid w:val="00FA1802"/>
    <w:rsid w:val="00FA21D0"/>
    <w:rsid w:val="00FA4D6E"/>
    <w:rsid w:val="00FA5F5F"/>
    <w:rsid w:val="00FA6E90"/>
    <w:rsid w:val="00FA7577"/>
    <w:rsid w:val="00FB1B09"/>
    <w:rsid w:val="00FB22F2"/>
    <w:rsid w:val="00FB368B"/>
    <w:rsid w:val="00FB730C"/>
    <w:rsid w:val="00FB7A18"/>
    <w:rsid w:val="00FB7BD5"/>
    <w:rsid w:val="00FC2695"/>
    <w:rsid w:val="00FC3E03"/>
    <w:rsid w:val="00FC3FC1"/>
    <w:rsid w:val="00FC4D8F"/>
    <w:rsid w:val="00FC7617"/>
    <w:rsid w:val="00FD0E5E"/>
    <w:rsid w:val="00FD2A99"/>
    <w:rsid w:val="00FD766D"/>
    <w:rsid w:val="00FE3FB5"/>
    <w:rsid w:val="00FF0F59"/>
    <w:rsid w:val="00FF2669"/>
    <w:rsid w:val="00FF442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303359"/>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23"/>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981BF6"/>
    <w:pPr>
      <w:keepNext/>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23"/>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981BF6"/>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254812"/>
    <w:rPr>
      <w:color w:val="605E5C"/>
      <w:shd w:val="clear" w:color="auto" w:fill="E1DFDD"/>
    </w:rPr>
  </w:style>
  <w:style w:type="paragraph" w:styleId="Revisione">
    <w:name w:val="Revision"/>
    <w:hidden/>
    <w:uiPriority w:val="99"/>
    <w:semiHidden/>
    <w:rsid w:val="00AD6649"/>
    <w:pPr>
      <w:spacing w:after="0" w:line="240" w:lineRule="auto"/>
    </w:pPr>
    <w:rPr>
      <w:rFonts w:ascii="Arial" w:eastAsia="Times New Roman" w:hAnsi="Arial" w:cs="Times New Roman"/>
      <w:sz w:val="18"/>
      <w:szCs w:val="20"/>
      <w:lang w:val="en-GB"/>
    </w:rPr>
  </w:style>
  <w:style w:type="character" w:styleId="Collegamentovisitato">
    <w:name w:val="FollowedHyperlink"/>
    <w:basedOn w:val="Carpredefinitoparagrafo"/>
    <w:uiPriority w:val="99"/>
    <w:semiHidden/>
    <w:unhideWhenUsed/>
    <w:rsid w:val="00EF5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Pages.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ribi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mpas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lideshare.net/ladukepcq/role-of-safety-in-ops-ex-136867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4031</Words>
  <Characters>22981</Characters>
  <Application>Microsoft Office Word</Application>
  <DocSecurity>0</DocSecurity>
  <Lines>191</Lines>
  <Paragraphs>53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Eleonora BOTTANI</cp:lastModifiedBy>
  <cp:revision>3</cp:revision>
  <cp:lastPrinted>2015-05-12T18:31:00Z</cp:lastPrinted>
  <dcterms:created xsi:type="dcterms:W3CDTF">2026-03-30T14:29:00Z</dcterms:created>
  <dcterms:modified xsi:type="dcterms:W3CDTF">2026-03-30T14:29:00Z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